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FC375" w14:textId="77777777" w:rsidR="009D01A8" w:rsidRDefault="009D01A8" w:rsidP="009D01A8">
      <w:pPr>
        <w:pBdr>
          <w:top w:val="nil"/>
          <w:left w:val="nil"/>
          <w:bottom w:val="nil"/>
          <w:right w:val="nil"/>
          <w:between w:val="nil"/>
        </w:pBdr>
        <w:spacing w:after="0" w:line="240" w:lineRule="auto"/>
        <w:ind w:left="0"/>
        <w:jc w:val="right"/>
        <w:rPr>
          <w:rFonts w:ascii="Arial" w:eastAsia="Arial" w:hAnsi="Arial" w:cs="Arial"/>
          <w:color w:val="000000"/>
          <w:sz w:val="24"/>
          <w:szCs w:val="24"/>
        </w:rPr>
      </w:pPr>
      <w:r>
        <w:rPr>
          <w:rFonts w:ascii="Arial" w:eastAsia="Arial" w:hAnsi="Arial" w:cs="Arial"/>
          <w:color w:val="000000"/>
          <w:sz w:val="24"/>
          <w:szCs w:val="24"/>
        </w:rPr>
        <w:t>Annex A</w:t>
      </w:r>
    </w:p>
    <w:p w14:paraId="215A2FD4" w14:textId="77777777" w:rsidR="009D01A8" w:rsidRDefault="009D01A8" w:rsidP="009D01A8">
      <w:pPr>
        <w:pBdr>
          <w:top w:val="nil"/>
          <w:left w:val="nil"/>
          <w:bottom w:val="nil"/>
          <w:right w:val="nil"/>
          <w:between w:val="nil"/>
        </w:pBdr>
        <w:spacing w:after="0" w:line="240" w:lineRule="auto"/>
        <w:ind w:left="0"/>
        <w:jc w:val="right"/>
        <w:rPr>
          <w:rFonts w:ascii="Arial" w:eastAsia="Arial" w:hAnsi="Arial" w:cs="Arial"/>
          <w:color w:val="000000"/>
        </w:rPr>
      </w:pPr>
    </w:p>
    <w:p w14:paraId="1BE9A711" w14:textId="77777777" w:rsidR="009D01A8" w:rsidRDefault="009D01A8" w:rsidP="009D01A8">
      <w:pPr>
        <w:pBdr>
          <w:top w:val="nil"/>
          <w:left w:val="nil"/>
          <w:bottom w:val="nil"/>
          <w:right w:val="nil"/>
          <w:between w:val="nil"/>
        </w:pBdr>
        <w:spacing w:after="0" w:line="240" w:lineRule="auto"/>
        <w:ind w:left="0"/>
        <w:jc w:val="right"/>
        <w:rPr>
          <w:rFonts w:ascii="Arial" w:eastAsia="Arial" w:hAnsi="Arial" w:cs="Arial"/>
          <w:color w:val="000000"/>
        </w:rPr>
      </w:pPr>
    </w:p>
    <w:p w14:paraId="6DBB02DA" w14:textId="77777777" w:rsidR="009D01A8" w:rsidRDefault="009D01A8" w:rsidP="009D01A8">
      <w:pPr>
        <w:pBdr>
          <w:top w:val="nil"/>
          <w:left w:val="nil"/>
          <w:bottom w:val="nil"/>
          <w:right w:val="nil"/>
          <w:between w:val="nil"/>
        </w:pBdr>
        <w:spacing w:after="0" w:line="240" w:lineRule="auto"/>
        <w:ind w:left="0"/>
        <w:jc w:val="right"/>
        <w:rPr>
          <w:rFonts w:ascii="Arial" w:eastAsia="Arial" w:hAnsi="Arial" w:cs="Arial"/>
          <w:color w:val="000000"/>
        </w:rPr>
      </w:pPr>
    </w:p>
    <w:p w14:paraId="3A695091" w14:textId="77777777" w:rsidR="009D01A8" w:rsidRDefault="009D01A8" w:rsidP="009D01A8">
      <w:pPr>
        <w:pBdr>
          <w:top w:val="nil"/>
          <w:left w:val="nil"/>
          <w:bottom w:val="nil"/>
          <w:right w:val="nil"/>
          <w:between w:val="nil"/>
        </w:pBdr>
        <w:spacing w:after="0" w:line="240" w:lineRule="auto"/>
        <w:ind w:left="0"/>
        <w:jc w:val="center"/>
        <w:rPr>
          <w:rFonts w:ascii="Arial" w:eastAsia="Arial" w:hAnsi="Arial" w:cs="Arial"/>
          <w:color w:val="000000"/>
        </w:rPr>
      </w:pPr>
      <w:r>
        <w:rPr>
          <w:rFonts w:ascii="Arial" w:eastAsia="Arial" w:hAnsi="Arial" w:cs="Arial"/>
          <w:noProof/>
          <w:color w:val="000000"/>
          <w:lang w:eastAsia="en-PH"/>
        </w:rPr>
        <w:drawing>
          <wp:inline distT="0" distB="0" distL="0" distR="0" wp14:anchorId="159277F3" wp14:editId="2F1064F8">
            <wp:extent cx="1800000" cy="1800000"/>
            <wp:effectExtent l="0" t="0" r="0" b="0"/>
            <wp:docPr id="95" name="image69.png"/>
            <wp:cNvGraphicFramePr/>
            <a:graphic xmlns:a="http://schemas.openxmlformats.org/drawingml/2006/main">
              <a:graphicData uri="http://schemas.openxmlformats.org/drawingml/2006/picture">
                <pic:pic xmlns:pic="http://schemas.openxmlformats.org/drawingml/2006/picture">
                  <pic:nvPicPr>
                    <pic:cNvPr id="0" name="image69.png"/>
                    <pic:cNvPicPr preferRelativeResize="0"/>
                  </pic:nvPicPr>
                  <pic:blipFill>
                    <a:blip r:embed="rId5"/>
                    <a:srcRect/>
                    <a:stretch>
                      <a:fillRect/>
                    </a:stretch>
                  </pic:blipFill>
                  <pic:spPr>
                    <a:xfrm>
                      <a:off x="0" y="0"/>
                      <a:ext cx="1800000" cy="1800000"/>
                    </a:xfrm>
                    <a:prstGeom prst="rect">
                      <a:avLst/>
                    </a:prstGeom>
                    <a:ln/>
                  </pic:spPr>
                </pic:pic>
              </a:graphicData>
            </a:graphic>
          </wp:inline>
        </w:drawing>
      </w:r>
      <w:r>
        <w:rPr>
          <w:rFonts w:ascii="Arial" w:eastAsia="Arial" w:hAnsi="Arial" w:cs="Arial"/>
          <w:color w:val="000000"/>
        </w:rPr>
        <w:tab/>
      </w:r>
      <w:r>
        <w:rPr>
          <w:rFonts w:ascii="Arial" w:eastAsia="Arial" w:hAnsi="Arial" w:cs="Arial"/>
          <w:color w:val="000000"/>
        </w:rPr>
        <w:tab/>
      </w:r>
      <w:r>
        <w:rPr>
          <w:rFonts w:ascii="Arial" w:eastAsia="Arial" w:hAnsi="Arial" w:cs="Arial"/>
          <w:b/>
          <w:smallCaps/>
          <w:noProof/>
          <w:color w:val="000000"/>
          <w:sz w:val="48"/>
          <w:szCs w:val="48"/>
          <w:lang w:eastAsia="en-PH"/>
        </w:rPr>
        <w:drawing>
          <wp:inline distT="0" distB="0" distL="0" distR="0" wp14:anchorId="22FE40B5" wp14:editId="0F052597">
            <wp:extent cx="1507231" cy="1800000"/>
            <wp:effectExtent l="0" t="0" r="0" b="0"/>
            <wp:docPr id="97" name="image77.png"/>
            <wp:cNvGraphicFramePr/>
            <a:graphic xmlns:a="http://schemas.openxmlformats.org/drawingml/2006/main">
              <a:graphicData uri="http://schemas.openxmlformats.org/drawingml/2006/picture">
                <pic:pic xmlns:pic="http://schemas.openxmlformats.org/drawingml/2006/picture">
                  <pic:nvPicPr>
                    <pic:cNvPr id="0" name="image77.png"/>
                    <pic:cNvPicPr preferRelativeResize="0"/>
                  </pic:nvPicPr>
                  <pic:blipFill>
                    <a:blip r:embed="rId6"/>
                    <a:srcRect/>
                    <a:stretch>
                      <a:fillRect/>
                    </a:stretch>
                  </pic:blipFill>
                  <pic:spPr>
                    <a:xfrm>
                      <a:off x="0" y="0"/>
                      <a:ext cx="1507231" cy="1800000"/>
                    </a:xfrm>
                    <a:prstGeom prst="rect">
                      <a:avLst/>
                    </a:prstGeom>
                    <a:ln/>
                  </pic:spPr>
                </pic:pic>
              </a:graphicData>
            </a:graphic>
          </wp:inline>
        </w:drawing>
      </w:r>
    </w:p>
    <w:p w14:paraId="7544AFC0" w14:textId="77777777" w:rsidR="009D01A8" w:rsidRDefault="009D01A8" w:rsidP="009D01A8">
      <w:pPr>
        <w:pBdr>
          <w:top w:val="nil"/>
          <w:left w:val="nil"/>
          <w:bottom w:val="nil"/>
          <w:right w:val="nil"/>
          <w:between w:val="nil"/>
        </w:pBdr>
        <w:spacing w:after="0" w:line="240" w:lineRule="auto"/>
        <w:ind w:left="0"/>
        <w:jc w:val="center"/>
        <w:rPr>
          <w:rFonts w:ascii="Arial" w:eastAsia="Arial" w:hAnsi="Arial" w:cs="Arial"/>
          <w:color w:val="000000"/>
        </w:rPr>
      </w:pPr>
    </w:p>
    <w:p w14:paraId="67175A39" w14:textId="77777777" w:rsidR="009D01A8" w:rsidRDefault="009D01A8" w:rsidP="009D01A8">
      <w:pPr>
        <w:pBdr>
          <w:top w:val="nil"/>
          <w:left w:val="nil"/>
          <w:bottom w:val="nil"/>
          <w:right w:val="nil"/>
          <w:between w:val="nil"/>
        </w:pBdr>
        <w:spacing w:after="0" w:line="240" w:lineRule="auto"/>
        <w:ind w:left="0"/>
        <w:jc w:val="center"/>
        <w:rPr>
          <w:rFonts w:ascii="Arial" w:eastAsia="Arial" w:hAnsi="Arial" w:cs="Arial"/>
          <w:color w:val="000000"/>
        </w:rPr>
      </w:pPr>
    </w:p>
    <w:p w14:paraId="05ED381E" w14:textId="77777777" w:rsidR="009D01A8" w:rsidRDefault="009D01A8" w:rsidP="009D01A8">
      <w:pPr>
        <w:pBdr>
          <w:top w:val="nil"/>
          <w:left w:val="nil"/>
          <w:bottom w:val="nil"/>
          <w:right w:val="nil"/>
          <w:between w:val="nil"/>
        </w:pBdr>
        <w:spacing w:after="0" w:line="240" w:lineRule="auto"/>
        <w:ind w:left="0"/>
        <w:jc w:val="center"/>
        <w:rPr>
          <w:rFonts w:ascii="Arial" w:eastAsia="Arial" w:hAnsi="Arial" w:cs="Arial"/>
          <w:color w:val="000000"/>
          <w:sz w:val="24"/>
          <w:szCs w:val="24"/>
        </w:rPr>
      </w:pPr>
      <w:r>
        <w:rPr>
          <w:rFonts w:ascii="Arial" w:eastAsia="Arial" w:hAnsi="Arial" w:cs="Arial"/>
          <w:color w:val="000000"/>
          <w:sz w:val="24"/>
          <w:szCs w:val="24"/>
        </w:rPr>
        <w:t>Republic of the Philippines</w:t>
      </w:r>
    </w:p>
    <w:p w14:paraId="788E9097" w14:textId="77777777" w:rsidR="009D01A8" w:rsidRDefault="009D01A8" w:rsidP="009D01A8">
      <w:pPr>
        <w:pBdr>
          <w:top w:val="nil"/>
          <w:left w:val="nil"/>
          <w:bottom w:val="nil"/>
          <w:right w:val="nil"/>
          <w:between w:val="nil"/>
        </w:pBdr>
        <w:spacing w:after="0" w:line="240" w:lineRule="auto"/>
        <w:ind w:left="0"/>
        <w:jc w:val="center"/>
        <w:rPr>
          <w:rFonts w:ascii="Arial" w:eastAsia="Arial" w:hAnsi="Arial" w:cs="Arial"/>
          <w:color w:val="000000"/>
          <w:sz w:val="24"/>
          <w:szCs w:val="24"/>
        </w:rPr>
      </w:pPr>
      <w:r>
        <w:rPr>
          <w:rFonts w:ascii="Arial" w:eastAsia="Arial" w:hAnsi="Arial" w:cs="Arial"/>
          <w:color w:val="000000"/>
          <w:sz w:val="24"/>
          <w:szCs w:val="24"/>
        </w:rPr>
        <w:t>DEPARTMENT OF THE INTERIOR AND LOCAL GOVERNMENT</w:t>
      </w:r>
    </w:p>
    <w:p w14:paraId="104DEBD1" w14:textId="77777777" w:rsidR="009D01A8" w:rsidRDefault="009D01A8" w:rsidP="009D01A8">
      <w:pPr>
        <w:pBdr>
          <w:top w:val="nil"/>
          <w:left w:val="nil"/>
          <w:bottom w:val="nil"/>
          <w:right w:val="nil"/>
          <w:between w:val="nil"/>
        </w:pBdr>
        <w:spacing w:after="0" w:line="240" w:lineRule="auto"/>
        <w:ind w:left="0"/>
        <w:jc w:val="center"/>
        <w:rPr>
          <w:rFonts w:ascii="Arial" w:eastAsia="Arial" w:hAnsi="Arial" w:cs="Arial"/>
          <w:color w:val="000000"/>
          <w:sz w:val="24"/>
          <w:szCs w:val="24"/>
        </w:rPr>
      </w:pPr>
      <w:r>
        <w:rPr>
          <w:rFonts w:ascii="Arial" w:eastAsia="Arial" w:hAnsi="Arial" w:cs="Arial"/>
          <w:color w:val="000000"/>
          <w:sz w:val="24"/>
          <w:szCs w:val="24"/>
        </w:rPr>
        <w:t>DILG-NAPOLCOM Center, EDSA corner Quezon Avenue, Quezon City</w:t>
      </w:r>
    </w:p>
    <w:p w14:paraId="185C6740" w14:textId="77777777" w:rsidR="009D01A8" w:rsidRDefault="009D01A8" w:rsidP="009D01A8">
      <w:pPr>
        <w:pBdr>
          <w:top w:val="nil"/>
          <w:left w:val="nil"/>
          <w:bottom w:val="nil"/>
          <w:right w:val="nil"/>
          <w:between w:val="nil"/>
        </w:pBdr>
        <w:spacing w:after="0" w:line="240" w:lineRule="auto"/>
        <w:ind w:left="0"/>
        <w:jc w:val="center"/>
        <w:rPr>
          <w:rFonts w:ascii="Arial" w:eastAsia="Arial" w:hAnsi="Arial" w:cs="Arial"/>
          <w:color w:val="000000"/>
          <w:sz w:val="24"/>
          <w:szCs w:val="24"/>
        </w:rPr>
      </w:pPr>
      <w:hyperlink r:id="rId7">
        <w:r>
          <w:rPr>
            <w:rFonts w:ascii="Arial" w:eastAsia="Arial" w:hAnsi="Arial" w:cs="Arial"/>
            <w:color w:val="0563C1"/>
            <w:sz w:val="24"/>
            <w:szCs w:val="24"/>
            <w:u w:val="single"/>
          </w:rPr>
          <w:t>www.dilg.gov.ph</w:t>
        </w:r>
      </w:hyperlink>
    </w:p>
    <w:p w14:paraId="2BF1D02D" w14:textId="77777777" w:rsidR="009D01A8" w:rsidRDefault="009D01A8" w:rsidP="009D01A8">
      <w:pPr>
        <w:pBdr>
          <w:top w:val="nil"/>
          <w:left w:val="nil"/>
          <w:bottom w:val="nil"/>
          <w:right w:val="nil"/>
          <w:between w:val="nil"/>
        </w:pBdr>
        <w:spacing w:after="0" w:line="240" w:lineRule="auto"/>
        <w:ind w:left="0"/>
        <w:jc w:val="center"/>
        <w:rPr>
          <w:rFonts w:ascii="Arial" w:eastAsia="Arial" w:hAnsi="Arial" w:cs="Arial"/>
          <w:color w:val="000000"/>
          <w:sz w:val="24"/>
          <w:szCs w:val="24"/>
        </w:rPr>
      </w:pPr>
    </w:p>
    <w:p w14:paraId="76CC2496" w14:textId="77777777" w:rsidR="009D01A8" w:rsidRDefault="009D01A8" w:rsidP="009D01A8">
      <w:pPr>
        <w:pBdr>
          <w:top w:val="nil"/>
          <w:left w:val="nil"/>
          <w:bottom w:val="nil"/>
          <w:right w:val="nil"/>
          <w:between w:val="nil"/>
        </w:pBdr>
        <w:spacing w:after="0" w:line="240" w:lineRule="auto"/>
        <w:ind w:left="0"/>
        <w:jc w:val="center"/>
        <w:rPr>
          <w:rFonts w:ascii="Arial" w:eastAsia="Arial" w:hAnsi="Arial" w:cs="Arial"/>
          <w:color w:val="000000"/>
          <w:sz w:val="24"/>
          <w:szCs w:val="24"/>
        </w:rPr>
      </w:pPr>
    </w:p>
    <w:p w14:paraId="10A49152" w14:textId="77777777" w:rsidR="009D01A8" w:rsidRDefault="009D01A8" w:rsidP="009D01A8">
      <w:pPr>
        <w:pBdr>
          <w:top w:val="nil"/>
          <w:left w:val="nil"/>
          <w:bottom w:val="nil"/>
          <w:right w:val="nil"/>
          <w:between w:val="nil"/>
        </w:pBdr>
        <w:spacing w:after="0" w:line="240" w:lineRule="auto"/>
        <w:ind w:left="0"/>
        <w:jc w:val="center"/>
        <w:rPr>
          <w:rFonts w:ascii="Arial" w:eastAsia="Arial" w:hAnsi="Arial" w:cs="Arial"/>
          <w:color w:val="000000"/>
          <w:sz w:val="24"/>
          <w:szCs w:val="24"/>
        </w:rPr>
      </w:pPr>
    </w:p>
    <w:p w14:paraId="1467AFF6" w14:textId="77777777" w:rsidR="009D01A8" w:rsidRDefault="009D01A8" w:rsidP="009D01A8">
      <w:pPr>
        <w:pBdr>
          <w:top w:val="nil"/>
          <w:left w:val="nil"/>
          <w:bottom w:val="nil"/>
          <w:right w:val="nil"/>
          <w:between w:val="nil"/>
        </w:pBdr>
        <w:spacing w:after="0" w:line="240" w:lineRule="auto"/>
        <w:ind w:left="0"/>
        <w:jc w:val="center"/>
        <w:rPr>
          <w:rFonts w:ascii="Arial" w:eastAsia="Arial" w:hAnsi="Arial" w:cs="Arial"/>
          <w:color w:val="000000"/>
          <w:sz w:val="36"/>
          <w:szCs w:val="36"/>
        </w:rPr>
      </w:pPr>
      <w:r>
        <w:rPr>
          <w:rFonts w:ascii="Arial" w:eastAsia="Arial" w:hAnsi="Arial" w:cs="Arial"/>
          <w:color w:val="000000"/>
          <w:sz w:val="24"/>
          <w:szCs w:val="24"/>
        </w:rPr>
        <w:t xml:space="preserve">DILG PHILIPPINE ANTI-ILLEGAL DRUGS STRATEGY - </w:t>
      </w:r>
    </w:p>
    <w:p w14:paraId="68D63A8B" w14:textId="77777777" w:rsidR="009D01A8" w:rsidRDefault="009D01A8" w:rsidP="009D01A8">
      <w:pPr>
        <w:pBdr>
          <w:top w:val="nil"/>
          <w:left w:val="nil"/>
          <w:bottom w:val="nil"/>
          <w:right w:val="nil"/>
          <w:between w:val="nil"/>
        </w:pBdr>
        <w:spacing w:after="0" w:line="240" w:lineRule="auto"/>
        <w:ind w:left="0"/>
        <w:jc w:val="center"/>
        <w:rPr>
          <w:rFonts w:ascii="Arial" w:eastAsia="Arial" w:hAnsi="Arial" w:cs="Arial"/>
          <w:color w:val="000000"/>
          <w:sz w:val="36"/>
          <w:szCs w:val="36"/>
        </w:rPr>
      </w:pPr>
      <w:r>
        <w:rPr>
          <w:rFonts w:ascii="Arial" w:eastAsia="Arial" w:hAnsi="Arial" w:cs="Arial"/>
          <w:color w:val="000000"/>
          <w:sz w:val="36"/>
          <w:szCs w:val="36"/>
        </w:rPr>
        <w:t>PROJECT MANAGEMENT OFFICE</w:t>
      </w:r>
    </w:p>
    <w:p w14:paraId="7D90DFF4" w14:textId="77777777" w:rsidR="009D01A8" w:rsidRDefault="009D01A8" w:rsidP="009D01A8">
      <w:pPr>
        <w:pBdr>
          <w:top w:val="nil"/>
          <w:left w:val="nil"/>
          <w:bottom w:val="nil"/>
          <w:right w:val="nil"/>
          <w:between w:val="nil"/>
        </w:pBdr>
        <w:spacing w:after="0" w:line="240" w:lineRule="auto"/>
        <w:jc w:val="center"/>
        <w:rPr>
          <w:rFonts w:ascii="Arial" w:eastAsia="Arial" w:hAnsi="Arial" w:cs="Arial"/>
          <w:b/>
          <w:smallCaps/>
          <w:sz w:val="48"/>
          <w:szCs w:val="48"/>
        </w:rPr>
      </w:pPr>
    </w:p>
    <w:p w14:paraId="39EC7E57" w14:textId="77777777" w:rsidR="009D01A8" w:rsidRDefault="009D01A8" w:rsidP="009D01A8">
      <w:pPr>
        <w:pBdr>
          <w:top w:val="nil"/>
          <w:left w:val="nil"/>
          <w:bottom w:val="nil"/>
          <w:right w:val="nil"/>
          <w:between w:val="nil"/>
        </w:pBdr>
        <w:spacing w:after="0" w:line="240" w:lineRule="auto"/>
        <w:jc w:val="center"/>
        <w:rPr>
          <w:rFonts w:ascii="Arial" w:eastAsia="Arial" w:hAnsi="Arial" w:cs="Arial"/>
          <w:b/>
          <w:smallCaps/>
          <w:sz w:val="48"/>
          <w:szCs w:val="48"/>
        </w:rPr>
      </w:pPr>
    </w:p>
    <w:p w14:paraId="40B79C42" w14:textId="77777777" w:rsidR="009D01A8" w:rsidRDefault="009D01A8" w:rsidP="009D01A8">
      <w:pPr>
        <w:pBdr>
          <w:top w:val="nil"/>
          <w:left w:val="nil"/>
          <w:bottom w:val="nil"/>
          <w:right w:val="nil"/>
          <w:between w:val="nil"/>
        </w:pBdr>
        <w:spacing w:after="0" w:line="240" w:lineRule="auto"/>
        <w:jc w:val="center"/>
        <w:rPr>
          <w:rFonts w:ascii="Arial" w:eastAsia="Arial" w:hAnsi="Arial" w:cs="Arial"/>
          <w:b/>
          <w:smallCaps/>
          <w:sz w:val="48"/>
          <w:szCs w:val="48"/>
        </w:rPr>
      </w:pPr>
    </w:p>
    <w:p w14:paraId="5EF262D8" w14:textId="77777777" w:rsidR="009D01A8" w:rsidRDefault="009D01A8" w:rsidP="009D01A8">
      <w:pPr>
        <w:pBdr>
          <w:top w:val="nil"/>
          <w:left w:val="nil"/>
          <w:bottom w:val="nil"/>
          <w:right w:val="nil"/>
          <w:between w:val="nil"/>
        </w:pBdr>
        <w:spacing w:after="0" w:line="240" w:lineRule="auto"/>
        <w:jc w:val="center"/>
        <w:rPr>
          <w:rFonts w:ascii="Arial" w:eastAsia="Arial" w:hAnsi="Arial" w:cs="Arial"/>
          <w:b/>
          <w:smallCaps/>
          <w:sz w:val="44"/>
          <w:szCs w:val="44"/>
        </w:rPr>
      </w:pPr>
      <w:r>
        <w:rPr>
          <w:rFonts w:ascii="Arial" w:eastAsia="Arial" w:hAnsi="Arial" w:cs="Arial"/>
          <w:b/>
          <w:smallCaps/>
          <w:sz w:val="44"/>
          <w:szCs w:val="44"/>
        </w:rPr>
        <w:t xml:space="preserve">anti-drug abuse council </w:t>
      </w:r>
    </w:p>
    <w:p w14:paraId="13C6F4A1" w14:textId="77777777" w:rsidR="009D01A8" w:rsidRDefault="009D01A8" w:rsidP="009D01A8">
      <w:pPr>
        <w:pBdr>
          <w:top w:val="nil"/>
          <w:left w:val="nil"/>
          <w:bottom w:val="nil"/>
          <w:right w:val="nil"/>
          <w:between w:val="nil"/>
        </w:pBdr>
        <w:spacing w:after="0" w:line="240" w:lineRule="auto"/>
        <w:jc w:val="center"/>
        <w:rPr>
          <w:rFonts w:ascii="Arial" w:eastAsia="Arial" w:hAnsi="Arial" w:cs="Arial"/>
          <w:b/>
          <w:smallCaps/>
          <w:sz w:val="44"/>
          <w:szCs w:val="44"/>
        </w:rPr>
      </w:pPr>
      <w:r>
        <w:rPr>
          <w:rFonts w:ascii="Arial" w:eastAsia="Arial" w:hAnsi="Arial" w:cs="Arial"/>
          <w:b/>
          <w:smallCaps/>
          <w:sz w:val="44"/>
          <w:szCs w:val="44"/>
        </w:rPr>
        <w:t>performance audit</w:t>
      </w:r>
    </w:p>
    <w:p w14:paraId="52A37724" w14:textId="77777777" w:rsidR="009D01A8" w:rsidRDefault="009D01A8" w:rsidP="009D01A8">
      <w:pPr>
        <w:pBdr>
          <w:top w:val="nil"/>
          <w:left w:val="nil"/>
          <w:bottom w:val="nil"/>
          <w:right w:val="nil"/>
          <w:between w:val="nil"/>
        </w:pBdr>
        <w:spacing w:after="0" w:line="240" w:lineRule="auto"/>
        <w:jc w:val="center"/>
        <w:rPr>
          <w:rFonts w:ascii="Arial" w:eastAsia="Arial" w:hAnsi="Arial" w:cs="Arial"/>
        </w:rPr>
      </w:pPr>
      <w:r>
        <w:rPr>
          <w:rFonts w:ascii="Arial" w:eastAsia="Arial" w:hAnsi="Arial" w:cs="Arial"/>
          <w:b/>
          <w:smallCaps/>
          <w:sz w:val="44"/>
          <w:szCs w:val="44"/>
        </w:rPr>
        <w:t>protocol</w:t>
      </w:r>
    </w:p>
    <w:p w14:paraId="641E71D3" w14:textId="77777777" w:rsidR="009D01A8" w:rsidRDefault="009D01A8" w:rsidP="009D01A8">
      <w:pPr>
        <w:pBdr>
          <w:top w:val="nil"/>
          <w:left w:val="nil"/>
          <w:bottom w:val="nil"/>
          <w:right w:val="nil"/>
          <w:between w:val="nil"/>
        </w:pBdr>
        <w:spacing w:after="0" w:line="240" w:lineRule="auto"/>
        <w:ind w:left="0"/>
        <w:jc w:val="center"/>
        <w:rPr>
          <w:rFonts w:ascii="Arial" w:eastAsia="Arial" w:hAnsi="Arial" w:cs="Arial"/>
          <w:color w:val="000000"/>
        </w:rPr>
      </w:pPr>
    </w:p>
    <w:p w14:paraId="7F018C02" w14:textId="77777777" w:rsidR="009D01A8" w:rsidRDefault="009D01A8" w:rsidP="009D01A8">
      <w:pPr>
        <w:pBdr>
          <w:top w:val="nil"/>
          <w:left w:val="nil"/>
          <w:bottom w:val="nil"/>
          <w:right w:val="nil"/>
          <w:between w:val="nil"/>
        </w:pBdr>
        <w:spacing w:after="0" w:line="240" w:lineRule="auto"/>
        <w:ind w:left="0"/>
        <w:jc w:val="center"/>
        <w:rPr>
          <w:rFonts w:ascii="Arial" w:eastAsia="Arial" w:hAnsi="Arial" w:cs="Arial"/>
          <w:color w:val="000000"/>
        </w:rPr>
      </w:pPr>
    </w:p>
    <w:p w14:paraId="79651931" w14:textId="77777777" w:rsidR="009D01A8" w:rsidRDefault="009D01A8" w:rsidP="009D01A8">
      <w:pPr>
        <w:pBdr>
          <w:top w:val="nil"/>
          <w:left w:val="nil"/>
          <w:bottom w:val="nil"/>
          <w:right w:val="nil"/>
          <w:between w:val="nil"/>
        </w:pBdr>
        <w:spacing w:after="0" w:line="240" w:lineRule="auto"/>
        <w:ind w:left="0"/>
        <w:jc w:val="center"/>
        <w:rPr>
          <w:rFonts w:ascii="Arial" w:eastAsia="Arial" w:hAnsi="Arial" w:cs="Arial"/>
          <w:color w:val="000000"/>
        </w:rPr>
      </w:pPr>
    </w:p>
    <w:p w14:paraId="36845F5E" w14:textId="77777777" w:rsidR="009D01A8" w:rsidRDefault="009D01A8" w:rsidP="009D01A8">
      <w:pPr>
        <w:pBdr>
          <w:top w:val="nil"/>
          <w:left w:val="nil"/>
          <w:bottom w:val="nil"/>
          <w:right w:val="nil"/>
          <w:between w:val="nil"/>
        </w:pBdr>
        <w:spacing w:after="0" w:line="240" w:lineRule="auto"/>
        <w:ind w:left="0"/>
        <w:jc w:val="center"/>
        <w:rPr>
          <w:rFonts w:ascii="Arial" w:eastAsia="Arial" w:hAnsi="Arial" w:cs="Arial"/>
          <w:color w:val="000000"/>
        </w:rPr>
      </w:pPr>
    </w:p>
    <w:p w14:paraId="0F4B68A7" w14:textId="77777777" w:rsidR="009D01A8" w:rsidRDefault="009D01A8" w:rsidP="009D01A8">
      <w:pPr>
        <w:pBdr>
          <w:top w:val="nil"/>
          <w:left w:val="nil"/>
          <w:bottom w:val="nil"/>
          <w:right w:val="nil"/>
          <w:between w:val="nil"/>
        </w:pBdr>
        <w:spacing w:after="0" w:line="240" w:lineRule="auto"/>
        <w:ind w:left="0"/>
        <w:jc w:val="center"/>
        <w:rPr>
          <w:rFonts w:ascii="Arial" w:eastAsia="Arial" w:hAnsi="Arial" w:cs="Arial"/>
          <w:color w:val="000000"/>
        </w:rPr>
      </w:pPr>
    </w:p>
    <w:p w14:paraId="5AFA776D" w14:textId="77777777" w:rsidR="009D01A8" w:rsidRDefault="009D01A8" w:rsidP="009D01A8">
      <w:pPr>
        <w:pBdr>
          <w:top w:val="nil"/>
          <w:left w:val="nil"/>
          <w:bottom w:val="nil"/>
          <w:right w:val="nil"/>
          <w:between w:val="nil"/>
        </w:pBdr>
        <w:spacing w:after="0" w:line="240" w:lineRule="auto"/>
        <w:ind w:left="0"/>
        <w:jc w:val="center"/>
        <w:rPr>
          <w:rFonts w:ascii="Arial" w:eastAsia="Arial" w:hAnsi="Arial" w:cs="Arial"/>
        </w:rPr>
      </w:pPr>
    </w:p>
    <w:p w14:paraId="55C4899B" w14:textId="77777777" w:rsidR="009D01A8" w:rsidRDefault="009D01A8" w:rsidP="009D01A8">
      <w:pPr>
        <w:pBdr>
          <w:top w:val="nil"/>
          <w:left w:val="nil"/>
          <w:bottom w:val="nil"/>
          <w:right w:val="nil"/>
          <w:between w:val="nil"/>
        </w:pBdr>
        <w:spacing w:after="0" w:line="240" w:lineRule="auto"/>
        <w:ind w:left="0"/>
        <w:jc w:val="center"/>
        <w:rPr>
          <w:rFonts w:ascii="Arial" w:eastAsia="Arial" w:hAnsi="Arial" w:cs="Arial"/>
        </w:rPr>
      </w:pPr>
    </w:p>
    <w:p w14:paraId="6FDFE68F" w14:textId="77777777" w:rsidR="009D01A8" w:rsidRDefault="009D01A8" w:rsidP="009D01A8">
      <w:pPr>
        <w:ind w:left="0"/>
        <w:rPr>
          <w:rFonts w:ascii="Arial" w:eastAsia="Arial" w:hAnsi="Arial" w:cs="Arial"/>
          <w:b/>
          <w:sz w:val="24"/>
          <w:szCs w:val="24"/>
        </w:rPr>
      </w:pPr>
    </w:p>
    <w:p w14:paraId="7B9CE153" w14:textId="77777777" w:rsidR="009D01A8" w:rsidRDefault="009D01A8" w:rsidP="009D01A8">
      <w:pPr>
        <w:rPr>
          <w:rFonts w:ascii="Arial" w:eastAsia="Arial" w:hAnsi="Arial" w:cs="Arial"/>
        </w:rPr>
      </w:pPr>
      <w:r>
        <w:rPr>
          <w:rFonts w:ascii="Arial" w:eastAsia="Arial" w:hAnsi="Arial" w:cs="Arial"/>
        </w:rPr>
        <w:tab/>
      </w:r>
      <w:r>
        <w:rPr>
          <w:rFonts w:ascii="Arial" w:eastAsia="Arial" w:hAnsi="Arial" w:cs="Arial"/>
        </w:rPr>
        <w:tab/>
      </w:r>
    </w:p>
    <w:p w14:paraId="4C7D2437" w14:textId="77777777" w:rsidR="009D01A8" w:rsidRDefault="009D01A8" w:rsidP="009D01A8">
      <w:pPr>
        <w:rPr>
          <w:rFonts w:ascii="Arial" w:eastAsia="Arial" w:hAnsi="Arial" w:cs="Arial"/>
        </w:rPr>
      </w:pPr>
      <w:r>
        <w:rPr>
          <w:rFonts w:ascii="Arial" w:eastAsia="Arial" w:hAnsi="Arial" w:cs="Arial"/>
        </w:rPr>
        <w:lastRenderedPageBreak/>
        <w:t xml:space="preserve">The Comprehensive Dangerous Drugs Act of 2002 highlighted the important participation of local government units (LGUs) in the implementation of anti-illegal drugs program, </w:t>
      </w:r>
      <w:proofErr w:type="gramStart"/>
      <w:r>
        <w:rPr>
          <w:rFonts w:ascii="Arial" w:eastAsia="Arial" w:hAnsi="Arial" w:cs="Arial"/>
        </w:rPr>
        <w:t>activities</w:t>
      </w:r>
      <w:proofErr w:type="gramEnd"/>
      <w:r>
        <w:rPr>
          <w:rFonts w:ascii="Arial" w:eastAsia="Arial" w:hAnsi="Arial" w:cs="Arial"/>
        </w:rPr>
        <w:t xml:space="preserve"> and projects. This is further strengthened by the President’s approval of the Philippine Anti-illegal Drugs Strategy (PADS) which is the government’s blueprint of strategies and programs in addressing the nation’s drug abuse problem using a whole-of-nation approach. The PADS is anchored on the sub-goal set by Chapter 18 of the Philippine Development Plan (PDP) 2017-2022 of ensuring security, public </w:t>
      </w:r>
      <w:proofErr w:type="gramStart"/>
      <w:r>
        <w:rPr>
          <w:rFonts w:ascii="Arial" w:eastAsia="Arial" w:hAnsi="Arial" w:cs="Arial"/>
        </w:rPr>
        <w:t>order</w:t>
      </w:r>
      <w:proofErr w:type="gramEnd"/>
      <w:r>
        <w:rPr>
          <w:rFonts w:ascii="Arial" w:eastAsia="Arial" w:hAnsi="Arial" w:cs="Arial"/>
        </w:rPr>
        <w:t xml:space="preserve"> and safety by suppressing the supply of illegal drugs while reducing consumer demand for dangerous drugs and other illicit substances.</w:t>
      </w:r>
    </w:p>
    <w:p w14:paraId="77E31D94" w14:textId="77777777" w:rsidR="009D01A8" w:rsidRDefault="009D01A8" w:rsidP="009D01A8">
      <w:pPr>
        <w:rPr>
          <w:rFonts w:ascii="Arial" w:eastAsia="Arial" w:hAnsi="Arial" w:cs="Arial"/>
        </w:rPr>
      </w:pPr>
    </w:p>
    <w:p w14:paraId="5EF2C188" w14:textId="77777777" w:rsidR="009D01A8" w:rsidRDefault="009D01A8" w:rsidP="009D01A8">
      <w:pPr>
        <w:rPr>
          <w:rFonts w:ascii="Arial" w:eastAsia="Arial" w:hAnsi="Arial" w:cs="Arial"/>
        </w:rPr>
      </w:pPr>
      <w:r>
        <w:rPr>
          <w:rFonts w:ascii="Arial" w:eastAsia="Arial" w:hAnsi="Arial" w:cs="Arial"/>
        </w:rPr>
        <w:t xml:space="preserve">As early as 1998, the Department of the Interior and Local Government has encouraged LGUs to organize their respective Anti-Drug Abuse Councils (ADACs). These multi-sectoral councils are tasked to formulate plans and implement local anti-drug abuse programs, </w:t>
      </w:r>
      <w:proofErr w:type="gramStart"/>
      <w:r>
        <w:rPr>
          <w:rFonts w:ascii="Arial" w:eastAsia="Arial" w:hAnsi="Arial" w:cs="Arial"/>
        </w:rPr>
        <w:t>projects</w:t>
      </w:r>
      <w:proofErr w:type="gramEnd"/>
      <w:r>
        <w:rPr>
          <w:rFonts w:ascii="Arial" w:eastAsia="Arial" w:hAnsi="Arial" w:cs="Arial"/>
        </w:rPr>
        <w:t xml:space="preserve"> and activities. Series of related policies reiterating the organization of local ADACs and enumerating their specific roles and responsibilities have likewise been issued. These include the Department and the Dangerous Drugs Board (DILG-DDB) Joint Memorandum Circular (JMC) No. 2018-01 which provides for the guidelines on the functionality and effectiveness of local ADACs.</w:t>
      </w:r>
    </w:p>
    <w:p w14:paraId="21F76788" w14:textId="77777777" w:rsidR="009D01A8" w:rsidRDefault="009D01A8" w:rsidP="009D01A8">
      <w:pPr>
        <w:rPr>
          <w:rFonts w:ascii="Arial" w:eastAsia="Arial" w:hAnsi="Arial" w:cs="Arial"/>
        </w:rPr>
      </w:pPr>
    </w:p>
    <w:p w14:paraId="2B4BA02D" w14:textId="77777777" w:rsidR="009D01A8" w:rsidRDefault="009D01A8" w:rsidP="009D01A8">
      <w:pPr>
        <w:rPr>
          <w:rFonts w:ascii="Arial" w:eastAsia="Arial" w:hAnsi="Arial" w:cs="Arial"/>
        </w:rPr>
      </w:pPr>
      <w:r>
        <w:rPr>
          <w:rFonts w:ascii="Arial" w:eastAsia="Arial" w:hAnsi="Arial" w:cs="Arial"/>
        </w:rPr>
        <w:t>This ADAC Performance Audit Protocol is necessary to guide all DILG Field Personnel involved in the gathering, submission, and verification of all required documents pursuant to existing legal mandate.</w:t>
      </w:r>
    </w:p>
    <w:p w14:paraId="0F4CBB0A" w14:textId="77777777" w:rsidR="009D01A8" w:rsidRDefault="009D01A8" w:rsidP="009D01A8">
      <w:pPr>
        <w:rPr>
          <w:rFonts w:ascii="Arial" w:eastAsia="Arial" w:hAnsi="Arial" w:cs="Arial"/>
        </w:rPr>
      </w:pPr>
    </w:p>
    <w:p w14:paraId="0DB01633" w14:textId="77777777" w:rsidR="009D01A8" w:rsidRDefault="009D01A8" w:rsidP="009D01A8">
      <w:pPr>
        <w:jc w:val="center"/>
        <w:rPr>
          <w:rFonts w:ascii="Arial" w:eastAsia="Arial" w:hAnsi="Arial" w:cs="Arial"/>
          <w:sz w:val="6"/>
          <w:szCs w:val="6"/>
        </w:rPr>
      </w:pPr>
    </w:p>
    <w:p w14:paraId="37505268" w14:textId="77777777" w:rsidR="009D01A8" w:rsidRDefault="009D01A8" w:rsidP="009D01A8">
      <w:pPr>
        <w:numPr>
          <w:ilvl w:val="0"/>
          <w:numId w:val="6"/>
        </w:numPr>
        <w:pBdr>
          <w:top w:val="nil"/>
          <w:left w:val="nil"/>
          <w:bottom w:val="nil"/>
          <w:right w:val="nil"/>
          <w:between w:val="nil"/>
        </w:pBdr>
        <w:spacing w:after="0" w:line="276" w:lineRule="auto"/>
        <w:ind w:left="284" w:hanging="284"/>
        <w:jc w:val="left"/>
        <w:rPr>
          <w:rFonts w:ascii="Arial" w:eastAsia="Arial" w:hAnsi="Arial" w:cs="Arial"/>
          <w:b/>
          <w:smallCaps/>
          <w:color w:val="000000"/>
          <w:sz w:val="24"/>
          <w:szCs w:val="24"/>
        </w:rPr>
      </w:pPr>
      <w:r>
        <w:rPr>
          <w:rFonts w:ascii="Arial" w:eastAsia="Arial" w:hAnsi="Arial" w:cs="Arial"/>
          <w:b/>
          <w:smallCaps/>
          <w:color w:val="000000"/>
          <w:sz w:val="24"/>
          <w:szCs w:val="24"/>
        </w:rPr>
        <w:t>RATIONALE</w:t>
      </w:r>
    </w:p>
    <w:p w14:paraId="1F763C3F" w14:textId="77777777" w:rsidR="009D01A8" w:rsidRDefault="009D01A8" w:rsidP="009D01A8">
      <w:pPr>
        <w:pBdr>
          <w:top w:val="nil"/>
          <w:left w:val="nil"/>
          <w:bottom w:val="nil"/>
          <w:right w:val="nil"/>
          <w:between w:val="nil"/>
        </w:pBdr>
        <w:spacing w:after="0"/>
        <w:rPr>
          <w:rFonts w:ascii="Arial" w:eastAsia="Arial" w:hAnsi="Arial" w:cs="Arial"/>
          <w:sz w:val="16"/>
          <w:szCs w:val="16"/>
        </w:rPr>
      </w:pPr>
    </w:p>
    <w:p w14:paraId="15F1F5E9" w14:textId="77777777" w:rsidR="009D01A8" w:rsidRDefault="009D01A8" w:rsidP="009D01A8">
      <w:pPr>
        <w:pBdr>
          <w:top w:val="nil"/>
          <w:left w:val="nil"/>
          <w:bottom w:val="nil"/>
          <w:right w:val="nil"/>
          <w:between w:val="nil"/>
        </w:pBdr>
        <w:spacing w:after="0"/>
        <w:rPr>
          <w:rFonts w:ascii="Arial" w:eastAsia="Arial" w:hAnsi="Arial" w:cs="Arial"/>
          <w:sz w:val="24"/>
          <w:szCs w:val="24"/>
        </w:rPr>
      </w:pPr>
      <w:r>
        <w:rPr>
          <w:rFonts w:ascii="Arial" w:eastAsia="Arial" w:hAnsi="Arial" w:cs="Arial"/>
        </w:rPr>
        <w:t>This Anti-Drug Abuse Council (ADAC) Performance Audit is a collaborative effort between national government agencies (NGAs), local government units (LGUs), and civil society organizations (CSOs). It employs a multi-level and participatory audit structure to ensure the integrity of the audit process and its results.</w:t>
      </w:r>
      <w:r>
        <w:rPr>
          <w:rFonts w:ascii="Arial" w:eastAsia="Arial" w:hAnsi="Arial" w:cs="Arial"/>
          <w:sz w:val="24"/>
          <w:szCs w:val="24"/>
        </w:rPr>
        <w:t xml:space="preserve"> This Performance Audit aims to achieve the following:</w:t>
      </w:r>
    </w:p>
    <w:p w14:paraId="7E73A7E2" w14:textId="77777777" w:rsidR="009D01A8" w:rsidRDefault="009D01A8" w:rsidP="009D01A8">
      <w:pPr>
        <w:numPr>
          <w:ilvl w:val="2"/>
          <w:numId w:val="6"/>
        </w:numPr>
        <w:pBdr>
          <w:top w:val="nil"/>
          <w:left w:val="nil"/>
          <w:bottom w:val="nil"/>
          <w:right w:val="nil"/>
          <w:between w:val="nil"/>
        </w:pBdr>
        <w:spacing w:after="0" w:line="276" w:lineRule="auto"/>
        <w:ind w:left="1134" w:hanging="425"/>
        <w:rPr>
          <w:rFonts w:ascii="Arial" w:eastAsia="Arial" w:hAnsi="Arial" w:cs="Arial"/>
          <w:color w:val="000000"/>
        </w:rPr>
      </w:pPr>
      <w:r>
        <w:rPr>
          <w:rFonts w:ascii="Arial" w:eastAsia="Arial" w:hAnsi="Arial" w:cs="Arial"/>
          <w:color w:val="000000"/>
        </w:rPr>
        <w:t xml:space="preserve">Assess the functionality and effectiveness of local ADACs based on existing issuances and </w:t>
      </w:r>
      <w:proofErr w:type="gramStart"/>
      <w:r>
        <w:rPr>
          <w:rFonts w:ascii="Arial" w:eastAsia="Arial" w:hAnsi="Arial" w:cs="Arial"/>
          <w:color w:val="000000"/>
        </w:rPr>
        <w:t>policies;</w:t>
      </w:r>
      <w:proofErr w:type="gramEnd"/>
    </w:p>
    <w:p w14:paraId="35FC8ACE" w14:textId="77777777" w:rsidR="009D01A8" w:rsidRDefault="009D01A8" w:rsidP="009D01A8">
      <w:pPr>
        <w:numPr>
          <w:ilvl w:val="2"/>
          <w:numId w:val="6"/>
        </w:numPr>
        <w:pBdr>
          <w:top w:val="nil"/>
          <w:left w:val="nil"/>
          <w:bottom w:val="nil"/>
          <w:right w:val="nil"/>
          <w:between w:val="nil"/>
        </w:pBdr>
        <w:spacing w:after="0" w:line="276" w:lineRule="auto"/>
        <w:ind w:left="1134" w:hanging="425"/>
        <w:rPr>
          <w:rFonts w:ascii="Arial" w:eastAsia="Arial" w:hAnsi="Arial" w:cs="Arial"/>
          <w:color w:val="000000"/>
        </w:rPr>
      </w:pPr>
      <w:r>
        <w:rPr>
          <w:rFonts w:ascii="Arial" w:eastAsia="Arial" w:hAnsi="Arial" w:cs="Arial"/>
          <w:color w:val="000000"/>
        </w:rPr>
        <w:t>Determine ADAC-initiated and /</w:t>
      </w:r>
      <w:r>
        <w:rPr>
          <w:rFonts w:ascii="Arial" w:eastAsia="Arial" w:hAnsi="Arial" w:cs="Arial"/>
        </w:rPr>
        <w:t xml:space="preserve"> </w:t>
      </w:r>
      <w:r>
        <w:rPr>
          <w:rFonts w:ascii="Arial" w:eastAsia="Arial" w:hAnsi="Arial" w:cs="Arial"/>
          <w:color w:val="000000"/>
        </w:rPr>
        <w:t xml:space="preserve">or -endorsed innovations and best practices at all </w:t>
      </w:r>
      <w:proofErr w:type="gramStart"/>
      <w:r>
        <w:rPr>
          <w:rFonts w:ascii="Arial" w:eastAsia="Arial" w:hAnsi="Arial" w:cs="Arial"/>
          <w:color w:val="000000"/>
        </w:rPr>
        <w:t>levels;</w:t>
      </w:r>
      <w:proofErr w:type="gramEnd"/>
      <w:r>
        <w:rPr>
          <w:rFonts w:ascii="Arial" w:eastAsia="Arial" w:hAnsi="Arial" w:cs="Arial"/>
          <w:color w:val="000000"/>
        </w:rPr>
        <w:t xml:space="preserve"> </w:t>
      </w:r>
    </w:p>
    <w:p w14:paraId="3465C47F" w14:textId="77777777" w:rsidR="009D01A8" w:rsidRDefault="009D01A8" w:rsidP="009D01A8">
      <w:pPr>
        <w:numPr>
          <w:ilvl w:val="2"/>
          <w:numId w:val="6"/>
        </w:numPr>
        <w:pBdr>
          <w:top w:val="nil"/>
          <w:left w:val="nil"/>
          <w:bottom w:val="nil"/>
          <w:right w:val="nil"/>
          <w:between w:val="nil"/>
        </w:pBdr>
        <w:spacing w:after="0" w:line="276" w:lineRule="auto"/>
        <w:ind w:left="1134" w:hanging="425"/>
        <w:rPr>
          <w:rFonts w:ascii="Arial" w:eastAsia="Arial" w:hAnsi="Arial" w:cs="Arial"/>
          <w:color w:val="000000"/>
          <w:sz w:val="24"/>
          <w:szCs w:val="24"/>
        </w:rPr>
      </w:pPr>
      <w:r>
        <w:rPr>
          <w:rFonts w:ascii="Arial" w:eastAsia="Arial" w:hAnsi="Arial" w:cs="Arial"/>
          <w:color w:val="000000"/>
        </w:rPr>
        <w:t>Create a platform for evaluation</w:t>
      </w:r>
      <w:r>
        <w:rPr>
          <w:rFonts w:ascii="Arial" w:eastAsia="Arial" w:hAnsi="Arial" w:cs="Arial"/>
        </w:rPr>
        <w:t xml:space="preserve"> and </w:t>
      </w:r>
      <w:proofErr w:type="gramStart"/>
      <w:r>
        <w:rPr>
          <w:rFonts w:ascii="Arial" w:eastAsia="Arial" w:hAnsi="Arial" w:cs="Arial"/>
          <w:color w:val="000000"/>
        </w:rPr>
        <w:t>assessment</w:t>
      </w:r>
      <w:r>
        <w:rPr>
          <w:rFonts w:ascii="Arial" w:eastAsia="Arial" w:hAnsi="Arial" w:cs="Arial"/>
        </w:rPr>
        <w:t>;</w:t>
      </w:r>
      <w:proofErr w:type="gramEnd"/>
    </w:p>
    <w:p w14:paraId="3F3016CD" w14:textId="77777777" w:rsidR="009D01A8" w:rsidRDefault="009D01A8" w:rsidP="009D01A8">
      <w:pPr>
        <w:numPr>
          <w:ilvl w:val="2"/>
          <w:numId w:val="6"/>
        </w:numPr>
        <w:pBdr>
          <w:top w:val="nil"/>
          <w:left w:val="nil"/>
          <w:bottom w:val="nil"/>
          <w:right w:val="nil"/>
          <w:between w:val="nil"/>
        </w:pBdr>
        <w:spacing w:after="0" w:line="276" w:lineRule="auto"/>
        <w:ind w:left="1134" w:hanging="425"/>
        <w:rPr>
          <w:rFonts w:ascii="Arial" w:eastAsia="Arial" w:hAnsi="Arial" w:cs="Arial"/>
          <w:color w:val="000000"/>
          <w:sz w:val="24"/>
          <w:szCs w:val="24"/>
        </w:rPr>
      </w:pPr>
      <w:r>
        <w:rPr>
          <w:rFonts w:ascii="Arial" w:eastAsia="Arial" w:hAnsi="Arial" w:cs="Arial"/>
        </w:rPr>
        <w:t>Recognize the best, effective, and performing ADACs.</w:t>
      </w:r>
    </w:p>
    <w:p w14:paraId="32E78812" w14:textId="77777777" w:rsidR="009D01A8" w:rsidRDefault="009D01A8" w:rsidP="009D01A8">
      <w:pPr>
        <w:pBdr>
          <w:top w:val="nil"/>
          <w:left w:val="nil"/>
          <w:bottom w:val="nil"/>
          <w:right w:val="nil"/>
          <w:between w:val="nil"/>
        </w:pBdr>
        <w:spacing w:after="0"/>
        <w:ind w:left="360" w:firstLine="720"/>
        <w:rPr>
          <w:rFonts w:ascii="Arial" w:eastAsia="Arial" w:hAnsi="Arial" w:cs="Arial"/>
          <w:sz w:val="24"/>
          <w:szCs w:val="24"/>
        </w:rPr>
      </w:pPr>
    </w:p>
    <w:p w14:paraId="775BECF5" w14:textId="77777777" w:rsidR="009D01A8" w:rsidRDefault="009D01A8" w:rsidP="009D01A8">
      <w:pPr>
        <w:numPr>
          <w:ilvl w:val="0"/>
          <w:numId w:val="6"/>
        </w:numPr>
        <w:pBdr>
          <w:top w:val="nil"/>
          <w:left w:val="nil"/>
          <w:bottom w:val="nil"/>
          <w:right w:val="nil"/>
          <w:between w:val="nil"/>
        </w:pBdr>
        <w:spacing w:after="200" w:line="276" w:lineRule="auto"/>
        <w:ind w:left="426" w:hanging="426"/>
        <w:jc w:val="left"/>
        <w:rPr>
          <w:rFonts w:ascii="Arial" w:eastAsia="Arial" w:hAnsi="Arial" w:cs="Arial"/>
          <w:b/>
          <w:color w:val="000000"/>
          <w:sz w:val="24"/>
          <w:szCs w:val="24"/>
        </w:rPr>
      </w:pPr>
      <w:r>
        <w:rPr>
          <w:rFonts w:ascii="Arial" w:eastAsia="Arial" w:hAnsi="Arial" w:cs="Arial"/>
          <w:b/>
          <w:color w:val="000000"/>
          <w:sz w:val="24"/>
          <w:szCs w:val="24"/>
        </w:rPr>
        <w:t>COVERAGE</w:t>
      </w:r>
    </w:p>
    <w:p w14:paraId="1C9E6BB7" w14:textId="77777777" w:rsidR="009D01A8" w:rsidRDefault="009D01A8" w:rsidP="009D01A8">
      <w:pPr>
        <w:pBdr>
          <w:top w:val="nil"/>
          <w:left w:val="nil"/>
          <w:bottom w:val="nil"/>
          <w:right w:val="nil"/>
          <w:between w:val="nil"/>
        </w:pBdr>
        <w:rPr>
          <w:rFonts w:ascii="Arial" w:eastAsia="Arial" w:hAnsi="Arial" w:cs="Arial"/>
        </w:rPr>
      </w:pPr>
      <w:r>
        <w:rPr>
          <w:rFonts w:ascii="Arial" w:eastAsia="Arial" w:hAnsi="Arial" w:cs="Arial"/>
        </w:rPr>
        <w:t>This policy shall cover all Provincial, City, and Municipal Anti-Drug Abuse Councils (ADACs) from the eighty-one (81) provinces, one hundred forty-six (146) cities, and one thousand four hundred eighty-eight (1,488) municipalities under the jurisdiction of seventeen (17) DILG Regional Offices.</w:t>
      </w:r>
    </w:p>
    <w:p w14:paraId="049716F0" w14:textId="77777777" w:rsidR="009D01A8" w:rsidRDefault="009D01A8" w:rsidP="009D01A8">
      <w:pPr>
        <w:spacing w:after="0" w:line="240" w:lineRule="auto"/>
        <w:ind w:left="0"/>
        <w:rPr>
          <w:rFonts w:ascii="Arial" w:eastAsia="Arial" w:hAnsi="Arial" w:cs="Arial"/>
        </w:rPr>
      </w:pPr>
    </w:p>
    <w:p w14:paraId="3357A54B" w14:textId="77777777" w:rsidR="009D01A8" w:rsidRDefault="009D01A8" w:rsidP="009D01A8">
      <w:pPr>
        <w:spacing w:after="0" w:line="240" w:lineRule="auto"/>
        <w:ind w:left="0"/>
        <w:rPr>
          <w:rFonts w:ascii="Arial" w:eastAsia="Arial" w:hAnsi="Arial" w:cs="Arial"/>
        </w:rPr>
      </w:pPr>
      <w:r>
        <w:rPr>
          <w:rFonts w:ascii="Arial" w:eastAsia="Arial" w:hAnsi="Arial" w:cs="Arial"/>
        </w:rPr>
        <w:t xml:space="preserve">To ensure the continuous improvement and performance of ADACs in the implementation, monitoring and evaluation of anti-illegal drug activities, the DILG-BLGS, through DILG Philippine </w:t>
      </w:r>
      <w:r>
        <w:rPr>
          <w:rFonts w:ascii="Arial" w:eastAsia="Arial" w:hAnsi="Arial" w:cs="Arial"/>
        </w:rPr>
        <w:lastRenderedPageBreak/>
        <w:t>Anti-Illegal Drug Strategy (PADS) - PMO will conduct a Performance Audit in the Provincial, City and Municipal ADACs to ascertain their functionality (</w:t>
      </w:r>
      <w:proofErr w:type="gramStart"/>
      <w:r>
        <w:rPr>
          <w:rFonts w:ascii="Arial" w:eastAsia="Arial" w:hAnsi="Arial" w:cs="Arial"/>
        </w:rPr>
        <w:t>i.e.</w:t>
      </w:r>
      <w:proofErr w:type="gramEnd"/>
      <w:r>
        <w:rPr>
          <w:rFonts w:ascii="Arial" w:eastAsia="Arial" w:hAnsi="Arial" w:cs="Arial"/>
        </w:rPr>
        <w:t xml:space="preserve"> high, moderate, and low).</w:t>
      </w:r>
    </w:p>
    <w:p w14:paraId="446CF940" w14:textId="77777777" w:rsidR="009D01A8" w:rsidRDefault="009D01A8" w:rsidP="009D01A8">
      <w:pPr>
        <w:spacing w:after="0" w:line="240" w:lineRule="auto"/>
        <w:ind w:left="0"/>
        <w:rPr>
          <w:rFonts w:ascii="Arial" w:eastAsia="Arial" w:hAnsi="Arial" w:cs="Arial"/>
        </w:rPr>
      </w:pPr>
    </w:p>
    <w:p w14:paraId="23A2DF46" w14:textId="77777777" w:rsidR="009D01A8" w:rsidRDefault="009D01A8" w:rsidP="009D01A8">
      <w:pPr>
        <w:spacing w:after="0" w:line="240" w:lineRule="auto"/>
        <w:ind w:left="0"/>
        <w:rPr>
          <w:rFonts w:ascii="Arial" w:eastAsia="Arial" w:hAnsi="Arial" w:cs="Arial"/>
          <w:b/>
          <w:sz w:val="24"/>
          <w:szCs w:val="24"/>
        </w:rPr>
      </w:pPr>
      <w:r>
        <w:rPr>
          <w:rFonts w:ascii="Arial" w:eastAsia="Arial" w:hAnsi="Arial" w:cs="Arial"/>
          <w:b/>
          <w:sz w:val="24"/>
          <w:szCs w:val="24"/>
        </w:rPr>
        <w:t>III. DEFINITION OF TERMS</w:t>
      </w:r>
    </w:p>
    <w:p w14:paraId="3A5C3DCC" w14:textId="77777777" w:rsidR="009D01A8" w:rsidRDefault="009D01A8" w:rsidP="009D01A8">
      <w:pPr>
        <w:spacing w:after="0" w:line="240" w:lineRule="auto"/>
        <w:ind w:left="0"/>
        <w:rPr>
          <w:rFonts w:ascii="Arial" w:eastAsia="Arial" w:hAnsi="Arial" w:cs="Arial"/>
        </w:rPr>
      </w:pPr>
    </w:p>
    <w:p w14:paraId="7FBB8BE1" w14:textId="77777777" w:rsidR="009D01A8" w:rsidRDefault="009D01A8" w:rsidP="009D01A8">
      <w:pPr>
        <w:numPr>
          <w:ilvl w:val="0"/>
          <w:numId w:val="2"/>
        </w:numPr>
        <w:spacing w:after="0" w:line="259" w:lineRule="auto"/>
        <w:jc w:val="left"/>
        <w:rPr>
          <w:rFonts w:ascii="Arial" w:eastAsia="Arial" w:hAnsi="Arial" w:cs="Arial"/>
        </w:rPr>
      </w:pPr>
      <w:r>
        <w:rPr>
          <w:rFonts w:ascii="Arial" w:eastAsia="Arial" w:hAnsi="Arial" w:cs="Arial"/>
        </w:rPr>
        <w:t>Local Chief Executive - refers to Municipal Mayors, City Mayors, and Provincial Governors as Chairman of their respective Anti-Drug Abuse Councils (ADAC).</w:t>
      </w:r>
    </w:p>
    <w:p w14:paraId="58F22F99" w14:textId="77777777" w:rsidR="009D01A8" w:rsidRDefault="009D01A8" w:rsidP="009D01A8">
      <w:pPr>
        <w:numPr>
          <w:ilvl w:val="0"/>
          <w:numId w:val="2"/>
        </w:numPr>
        <w:spacing w:after="0" w:line="259" w:lineRule="auto"/>
        <w:jc w:val="left"/>
        <w:rPr>
          <w:rFonts w:ascii="Arial" w:eastAsia="Arial" w:hAnsi="Arial" w:cs="Arial"/>
        </w:rPr>
      </w:pPr>
      <w:r>
        <w:rPr>
          <w:rFonts w:ascii="Arial" w:eastAsia="Arial" w:hAnsi="Arial" w:cs="Arial"/>
        </w:rPr>
        <w:t>LGU ADAC Focal Person – refers to persons appointed by Mayors based on Executive Order/Local Ordinance responsible for the data gathering and uploading.</w:t>
      </w:r>
    </w:p>
    <w:p w14:paraId="5E18D9F8" w14:textId="77777777" w:rsidR="009D01A8" w:rsidRDefault="009D01A8" w:rsidP="009D01A8">
      <w:pPr>
        <w:numPr>
          <w:ilvl w:val="0"/>
          <w:numId w:val="2"/>
        </w:numPr>
        <w:spacing w:after="0" w:line="259" w:lineRule="auto"/>
        <w:jc w:val="left"/>
        <w:rPr>
          <w:rFonts w:ascii="Arial" w:eastAsia="Arial" w:hAnsi="Arial" w:cs="Arial"/>
        </w:rPr>
      </w:pPr>
      <w:r>
        <w:rPr>
          <w:rFonts w:ascii="Arial" w:eastAsia="Arial" w:hAnsi="Arial" w:cs="Arial"/>
        </w:rPr>
        <w:t>Best, performing, effective ADAC – refers to ADACs attained high functionality scores and passed on eligibility requirements.</w:t>
      </w:r>
    </w:p>
    <w:p w14:paraId="7A6EF3AE" w14:textId="77777777" w:rsidR="009D01A8" w:rsidRDefault="009D01A8" w:rsidP="009D01A8">
      <w:pPr>
        <w:numPr>
          <w:ilvl w:val="0"/>
          <w:numId w:val="2"/>
        </w:numPr>
        <w:spacing w:after="0" w:line="259" w:lineRule="auto"/>
        <w:jc w:val="left"/>
        <w:rPr>
          <w:rFonts w:ascii="Arial" w:eastAsia="Arial" w:hAnsi="Arial" w:cs="Arial"/>
        </w:rPr>
      </w:pPr>
      <w:r>
        <w:rPr>
          <w:rFonts w:ascii="Arial" w:eastAsia="Arial" w:hAnsi="Arial" w:cs="Arial"/>
        </w:rPr>
        <w:t xml:space="preserve">DILG ADAC Focal – refers to DILG Local Government Operations Officers (LGOOs) appointed by the Regional Directors responsible for all coordination regarding ADAC Programs at regional level. </w:t>
      </w:r>
    </w:p>
    <w:p w14:paraId="0D874C55" w14:textId="77777777" w:rsidR="009D01A8" w:rsidRDefault="009D01A8" w:rsidP="009D01A8">
      <w:pPr>
        <w:numPr>
          <w:ilvl w:val="0"/>
          <w:numId w:val="2"/>
        </w:numPr>
        <w:spacing w:after="0" w:line="259" w:lineRule="auto"/>
        <w:jc w:val="left"/>
        <w:rPr>
          <w:rFonts w:ascii="Arial" w:eastAsia="Arial" w:hAnsi="Arial" w:cs="Arial"/>
        </w:rPr>
      </w:pPr>
      <w:r>
        <w:rPr>
          <w:rFonts w:ascii="Arial" w:eastAsia="Arial" w:hAnsi="Arial" w:cs="Arial"/>
        </w:rPr>
        <w:t>APT (ADAC Provincial Audit Team) – refers to a group convened at Provincial level responsible for auditing C/MADACs.</w:t>
      </w:r>
    </w:p>
    <w:p w14:paraId="1A87FE92" w14:textId="77777777" w:rsidR="009D01A8" w:rsidRDefault="009D01A8" w:rsidP="009D01A8">
      <w:pPr>
        <w:numPr>
          <w:ilvl w:val="0"/>
          <w:numId w:val="2"/>
        </w:numPr>
        <w:spacing w:after="7"/>
        <w:rPr>
          <w:rFonts w:ascii="Arial" w:eastAsia="Arial" w:hAnsi="Arial" w:cs="Arial"/>
        </w:rPr>
      </w:pPr>
      <w:r>
        <w:rPr>
          <w:rFonts w:ascii="Arial" w:eastAsia="Arial" w:hAnsi="Arial" w:cs="Arial"/>
        </w:rPr>
        <w:t xml:space="preserve">ART (ADAC Regional Audit Team) – refers to a group convened at Regional level responsible for auditing the PADACs. </w:t>
      </w:r>
    </w:p>
    <w:p w14:paraId="6E3DE886" w14:textId="77777777" w:rsidR="009D01A8" w:rsidRDefault="009D01A8" w:rsidP="009D01A8">
      <w:pPr>
        <w:numPr>
          <w:ilvl w:val="0"/>
          <w:numId w:val="2"/>
        </w:numPr>
        <w:spacing w:after="7"/>
        <w:rPr>
          <w:rFonts w:ascii="Arial" w:eastAsia="Arial" w:hAnsi="Arial" w:cs="Arial"/>
        </w:rPr>
      </w:pPr>
      <w:r>
        <w:rPr>
          <w:rFonts w:ascii="Arial" w:eastAsia="Arial" w:hAnsi="Arial" w:cs="Arial"/>
        </w:rPr>
        <w:t>RTA (Regional Technical Assistants) - refers to a group responsible for the creation of accounts for the Regional Managers, ADAC Regional Audit Teams, ADAC Provincial Audit Teams, and LGU ADAC focal persons.</w:t>
      </w:r>
    </w:p>
    <w:p w14:paraId="580E5371" w14:textId="77777777" w:rsidR="009D01A8" w:rsidRDefault="009D01A8" w:rsidP="009D01A8">
      <w:pPr>
        <w:pBdr>
          <w:top w:val="nil"/>
          <w:left w:val="nil"/>
          <w:bottom w:val="nil"/>
          <w:right w:val="nil"/>
          <w:between w:val="nil"/>
        </w:pBdr>
        <w:spacing w:after="0" w:line="240" w:lineRule="auto"/>
        <w:ind w:left="0"/>
        <w:rPr>
          <w:rFonts w:ascii="Arial" w:eastAsia="Arial" w:hAnsi="Arial" w:cs="Arial"/>
          <w:color w:val="000000"/>
        </w:rPr>
      </w:pPr>
    </w:p>
    <w:p w14:paraId="38A3EC25" w14:textId="77777777" w:rsidR="009D01A8" w:rsidRDefault="009D01A8" w:rsidP="009D01A8">
      <w:pPr>
        <w:pBdr>
          <w:top w:val="nil"/>
          <w:left w:val="nil"/>
          <w:bottom w:val="nil"/>
          <w:right w:val="nil"/>
          <w:between w:val="nil"/>
        </w:pBdr>
        <w:spacing w:after="0" w:line="240" w:lineRule="auto"/>
        <w:ind w:left="0"/>
        <w:rPr>
          <w:rFonts w:ascii="Arial" w:eastAsia="Arial" w:hAnsi="Arial" w:cs="Arial"/>
          <w:color w:val="000000"/>
        </w:rPr>
      </w:pPr>
    </w:p>
    <w:p w14:paraId="03A715F8" w14:textId="77777777" w:rsidR="009D01A8" w:rsidRDefault="009D01A8" w:rsidP="009D01A8">
      <w:pPr>
        <w:numPr>
          <w:ilvl w:val="0"/>
          <w:numId w:val="6"/>
        </w:numPr>
        <w:pBdr>
          <w:top w:val="nil"/>
          <w:left w:val="nil"/>
          <w:bottom w:val="nil"/>
          <w:right w:val="nil"/>
          <w:between w:val="nil"/>
        </w:pBdr>
        <w:spacing w:after="0" w:line="276" w:lineRule="auto"/>
        <w:ind w:left="450" w:hanging="450"/>
        <w:jc w:val="left"/>
        <w:rPr>
          <w:rFonts w:ascii="Arial" w:eastAsia="Arial" w:hAnsi="Arial" w:cs="Arial"/>
          <w:b/>
          <w:color w:val="000000"/>
          <w:sz w:val="24"/>
          <w:szCs w:val="24"/>
        </w:rPr>
      </w:pPr>
      <w:r>
        <w:rPr>
          <w:rFonts w:ascii="Arial" w:eastAsia="Arial" w:hAnsi="Arial" w:cs="Arial"/>
          <w:b/>
          <w:color w:val="000000"/>
          <w:sz w:val="24"/>
          <w:szCs w:val="24"/>
        </w:rPr>
        <w:t>PERFORMANCE AUDIT MECHANISM</w:t>
      </w:r>
    </w:p>
    <w:p w14:paraId="3C028C5B" w14:textId="77777777" w:rsidR="009D01A8" w:rsidRDefault="009D01A8" w:rsidP="009D01A8">
      <w:pPr>
        <w:pBdr>
          <w:top w:val="nil"/>
          <w:left w:val="nil"/>
          <w:bottom w:val="nil"/>
          <w:right w:val="nil"/>
          <w:between w:val="nil"/>
        </w:pBdr>
        <w:spacing w:after="0"/>
        <w:ind w:left="450" w:hanging="720"/>
        <w:rPr>
          <w:rFonts w:ascii="Arial" w:eastAsia="Arial" w:hAnsi="Arial" w:cs="Arial"/>
          <w:b/>
          <w:color w:val="000000"/>
          <w:sz w:val="16"/>
          <w:szCs w:val="16"/>
        </w:rPr>
      </w:pPr>
    </w:p>
    <w:p w14:paraId="48CF60EA" w14:textId="77777777" w:rsidR="009D01A8" w:rsidRDefault="009D01A8" w:rsidP="009D01A8">
      <w:pPr>
        <w:numPr>
          <w:ilvl w:val="0"/>
          <w:numId w:val="7"/>
        </w:numPr>
        <w:pBdr>
          <w:top w:val="nil"/>
          <w:left w:val="nil"/>
          <w:bottom w:val="nil"/>
          <w:right w:val="nil"/>
          <w:between w:val="nil"/>
        </w:pBdr>
        <w:spacing w:after="0" w:line="276" w:lineRule="auto"/>
        <w:jc w:val="left"/>
        <w:rPr>
          <w:rFonts w:ascii="Arial" w:eastAsia="Arial" w:hAnsi="Arial" w:cs="Arial"/>
          <w:b/>
        </w:rPr>
      </w:pPr>
      <w:r>
        <w:rPr>
          <w:rFonts w:ascii="Arial" w:eastAsia="Arial" w:hAnsi="Arial" w:cs="Arial"/>
          <w:b/>
          <w:color w:val="000000"/>
        </w:rPr>
        <w:t>PERFORMANCE AUDIT TEAMS</w:t>
      </w:r>
    </w:p>
    <w:p w14:paraId="56C5D363" w14:textId="77777777" w:rsidR="009D01A8" w:rsidRDefault="009D01A8" w:rsidP="009D01A8">
      <w:pPr>
        <w:spacing w:after="0"/>
        <w:ind w:left="426"/>
        <w:rPr>
          <w:rFonts w:ascii="Arial" w:eastAsia="Arial" w:hAnsi="Arial" w:cs="Arial"/>
        </w:rPr>
      </w:pPr>
      <w:r>
        <w:rPr>
          <w:rFonts w:ascii="Arial" w:eastAsia="Arial" w:hAnsi="Arial" w:cs="Arial"/>
        </w:rPr>
        <w:t>The following teams shall be assembled and convened by the responsible office to verify submitted document and conduct performance audit:</w:t>
      </w:r>
    </w:p>
    <w:p w14:paraId="7E4B69C2" w14:textId="77777777" w:rsidR="009D01A8" w:rsidRDefault="009D01A8" w:rsidP="009D01A8">
      <w:pPr>
        <w:pBdr>
          <w:top w:val="nil"/>
          <w:left w:val="nil"/>
          <w:bottom w:val="nil"/>
          <w:right w:val="nil"/>
          <w:between w:val="nil"/>
        </w:pBdr>
        <w:spacing w:after="0"/>
        <w:rPr>
          <w:rFonts w:ascii="Arial" w:eastAsia="Arial" w:hAnsi="Arial" w:cs="Arial"/>
          <w:sz w:val="4"/>
          <w:szCs w:val="4"/>
        </w:rPr>
      </w:pPr>
    </w:p>
    <w:p w14:paraId="2E252DCA" w14:textId="77777777" w:rsidR="009D01A8" w:rsidRDefault="009D01A8" w:rsidP="009D01A8">
      <w:pPr>
        <w:numPr>
          <w:ilvl w:val="0"/>
          <w:numId w:val="1"/>
        </w:numPr>
        <w:pBdr>
          <w:top w:val="nil"/>
          <w:left w:val="nil"/>
          <w:bottom w:val="nil"/>
          <w:right w:val="nil"/>
          <w:between w:val="nil"/>
        </w:pBdr>
        <w:spacing w:after="0" w:line="276" w:lineRule="auto"/>
        <w:rPr>
          <w:rFonts w:ascii="Arial" w:eastAsia="Arial" w:hAnsi="Arial" w:cs="Arial"/>
        </w:rPr>
      </w:pPr>
      <w:r>
        <w:rPr>
          <w:rFonts w:ascii="Arial" w:eastAsia="Arial" w:hAnsi="Arial" w:cs="Arial"/>
          <w:color w:val="000000"/>
        </w:rPr>
        <w:t>ADAC Provincial Audit Team (APT)</w:t>
      </w:r>
    </w:p>
    <w:p w14:paraId="635A7107" w14:textId="77777777" w:rsidR="009D01A8" w:rsidRDefault="009D01A8" w:rsidP="009D01A8">
      <w:pPr>
        <w:pBdr>
          <w:top w:val="nil"/>
          <w:left w:val="nil"/>
          <w:bottom w:val="nil"/>
          <w:right w:val="nil"/>
          <w:between w:val="nil"/>
        </w:pBdr>
        <w:spacing w:after="0"/>
        <w:ind w:left="1080"/>
        <w:rPr>
          <w:rFonts w:ascii="Arial" w:eastAsia="Arial" w:hAnsi="Arial" w:cs="Arial"/>
        </w:rPr>
      </w:pPr>
      <w:r>
        <w:rPr>
          <w:rFonts w:ascii="Arial" w:eastAsia="Arial" w:hAnsi="Arial" w:cs="Arial"/>
        </w:rPr>
        <w:t xml:space="preserve">The ADAC Provincial Audit Teams (APT) shall be assembled and convened by the DILG Provincial Office. The five (5)-member team shall be chaired by the DILG Provincial Director or his </w:t>
      </w:r>
      <w:proofErr w:type="gramStart"/>
      <w:r>
        <w:rPr>
          <w:rFonts w:ascii="Arial" w:eastAsia="Arial" w:hAnsi="Arial" w:cs="Arial"/>
        </w:rPr>
        <w:t>representative, and</w:t>
      </w:r>
      <w:proofErr w:type="gramEnd"/>
      <w:r>
        <w:rPr>
          <w:rFonts w:ascii="Arial" w:eastAsia="Arial" w:hAnsi="Arial" w:cs="Arial"/>
        </w:rPr>
        <w:t xml:space="preserve"> shall be composed of representatives from the provincial Philippine National Police (PNP), Philippine Drug Enforcement Agency (PDEA), and two (2) CSOs.</w:t>
      </w:r>
    </w:p>
    <w:p w14:paraId="1FAF00CC" w14:textId="77777777" w:rsidR="009D01A8" w:rsidRDefault="009D01A8" w:rsidP="009D01A8">
      <w:pPr>
        <w:spacing w:after="0"/>
        <w:rPr>
          <w:rFonts w:ascii="Arial" w:eastAsia="Arial" w:hAnsi="Arial" w:cs="Arial"/>
          <w:sz w:val="10"/>
          <w:szCs w:val="10"/>
        </w:rPr>
      </w:pPr>
    </w:p>
    <w:p w14:paraId="17BE5120" w14:textId="77777777" w:rsidR="009D01A8" w:rsidRDefault="009D01A8" w:rsidP="009D01A8">
      <w:pPr>
        <w:numPr>
          <w:ilvl w:val="0"/>
          <w:numId w:val="1"/>
        </w:numPr>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color w:val="000000"/>
          <w:sz w:val="24"/>
          <w:szCs w:val="24"/>
        </w:rPr>
        <w:t>ADAC Regional Audit Team (ART)</w:t>
      </w:r>
    </w:p>
    <w:p w14:paraId="7B3B093F" w14:textId="77777777" w:rsidR="009D01A8" w:rsidRDefault="009D01A8" w:rsidP="009D01A8">
      <w:pPr>
        <w:pBdr>
          <w:top w:val="nil"/>
          <w:left w:val="nil"/>
          <w:bottom w:val="nil"/>
          <w:right w:val="nil"/>
          <w:between w:val="nil"/>
        </w:pBdr>
        <w:spacing w:after="0"/>
        <w:ind w:left="1080"/>
        <w:rPr>
          <w:rFonts w:ascii="Arial" w:eastAsia="Arial" w:hAnsi="Arial" w:cs="Arial"/>
        </w:rPr>
      </w:pPr>
      <w:r>
        <w:rPr>
          <w:rFonts w:ascii="Arial" w:eastAsia="Arial" w:hAnsi="Arial" w:cs="Arial"/>
        </w:rPr>
        <w:t>The ADAC Regional Audit Teams (ART) shall be assembled and convened by the DILG Regional Office. The five (5)-member team shall be chaired by the DILG Regional Director or his representative and shall be composed of representatives from the regional PNP, PDEA, and two (2) CSOs.</w:t>
      </w:r>
    </w:p>
    <w:p w14:paraId="22DEA0D0" w14:textId="77777777" w:rsidR="009D01A8" w:rsidRDefault="009D01A8" w:rsidP="009D01A8">
      <w:pPr>
        <w:spacing w:after="0"/>
        <w:rPr>
          <w:rFonts w:ascii="Arial" w:eastAsia="Arial" w:hAnsi="Arial" w:cs="Arial"/>
          <w:sz w:val="10"/>
          <w:szCs w:val="10"/>
        </w:rPr>
      </w:pPr>
    </w:p>
    <w:p w14:paraId="51CC06D4" w14:textId="77777777" w:rsidR="009D01A8" w:rsidRDefault="009D01A8" w:rsidP="009D01A8">
      <w:pPr>
        <w:numPr>
          <w:ilvl w:val="0"/>
          <w:numId w:val="1"/>
        </w:numPr>
        <w:pBdr>
          <w:top w:val="nil"/>
          <w:left w:val="nil"/>
          <w:bottom w:val="nil"/>
          <w:right w:val="nil"/>
          <w:between w:val="nil"/>
        </w:pBdr>
        <w:spacing w:after="0" w:line="276" w:lineRule="auto"/>
        <w:rPr>
          <w:rFonts w:ascii="Arial" w:eastAsia="Arial" w:hAnsi="Arial" w:cs="Arial"/>
        </w:rPr>
      </w:pPr>
      <w:r>
        <w:rPr>
          <w:rFonts w:ascii="Arial" w:eastAsia="Arial" w:hAnsi="Arial" w:cs="Arial"/>
          <w:color w:val="000000"/>
        </w:rPr>
        <w:t>ADAC National Audit Team (ANT)</w:t>
      </w:r>
    </w:p>
    <w:p w14:paraId="1B2EE6DB" w14:textId="77777777" w:rsidR="009D01A8" w:rsidRDefault="009D01A8" w:rsidP="009D01A8">
      <w:pPr>
        <w:pBdr>
          <w:top w:val="nil"/>
          <w:left w:val="nil"/>
          <w:bottom w:val="nil"/>
          <w:right w:val="nil"/>
          <w:between w:val="nil"/>
        </w:pBdr>
        <w:spacing w:after="0" w:line="276" w:lineRule="auto"/>
        <w:ind w:left="1080"/>
        <w:rPr>
          <w:rFonts w:ascii="Arial" w:eastAsia="Arial" w:hAnsi="Arial" w:cs="Arial"/>
          <w:color w:val="000000"/>
        </w:rPr>
      </w:pPr>
      <w:r>
        <w:rPr>
          <w:rFonts w:ascii="Arial" w:eastAsia="Arial" w:hAnsi="Arial" w:cs="Arial"/>
          <w:color w:val="000000"/>
        </w:rPr>
        <w:t xml:space="preserve">The ADAC National Audit Team (ANT) shall be assembled and convened by the ADAC PMO </w:t>
      </w:r>
      <w:proofErr w:type="gramStart"/>
      <w:r>
        <w:rPr>
          <w:rFonts w:ascii="Arial" w:eastAsia="Arial" w:hAnsi="Arial" w:cs="Arial"/>
          <w:color w:val="000000"/>
        </w:rPr>
        <w:t>The</w:t>
      </w:r>
      <w:proofErr w:type="gramEnd"/>
      <w:r>
        <w:rPr>
          <w:rFonts w:ascii="Arial" w:eastAsia="Arial" w:hAnsi="Arial" w:cs="Arial"/>
          <w:color w:val="000000"/>
        </w:rPr>
        <w:t xml:space="preserve"> five (5)-member team shall be chaired by the DILG Secretary or his representative and shall be composed of representatives from the DDB, PNP, PDEA, and one (1) CSO.</w:t>
      </w:r>
    </w:p>
    <w:p w14:paraId="715B325A" w14:textId="77777777" w:rsidR="009D01A8" w:rsidRDefault="009D01A8" w:rsidP="009D01A8">
      <w:pPr>
        <w:ind w:left="0"/>
        <w:rPr>
          <w:rFonts w:ascii="Arial" w:eastAsia="Arial" w:hAnsi="Arial" w:cs="Arial"/>
          <w:b/>
          <w:color w:val="000000"/>
          <w:sz w:val="24"/>
          <w:szCs w:val="24"/>
        </w:rPr>
      </w:pPr>
    </w:p>
    <w:p w14:paraId="52A79BE2" w14:textId="77777777" w:rsidR="009D01A8" w:rsidRDefault="009D01A8" w:rsidP="009D01A8">
      <w:pPr>
        <w:numPr>
          <w:ilvl w:val="0"/>
          <w:numId w:val="7"/>
        </w:numPr>
        <w:pBdr>
          <w:top w:val="nil"/>
          <w:left w:val="nil"/>
          <w:bottom w:val="nil"/>
          <w:right w:val="nil"/>
          <w:between w:val="nil"/>
        </w:pBdr>
        <w:spacing w:after="0" w:line="276" w:lineRule="auto"/>
        <w:jc w:val="left"/>
        <w:rPr>
          <w:rFonts w:ascii="Arial" w:eastAsia="Arial" w:hAnsi="Arial" w:cs="Arial"/>
          <w:b/>
          <w:smallCaps/>
          <w:sz w:val="24"/>
          <w:szCs w:val="24"/>
        </w:rPr>
      </w:pPr>
      <w:r>
        <w:rPr>
          <w:rFonts w:ascii="Arial" w:eastAsia="Arial" w:hAnsi="Arial" w:cs="Arial"/>
          <w:b/>
          <w:color w:val="000000"/>
          <w:sz w:val="24"/>
          <w:szCs w:val="24"/>
        </w:rPr>
        <w:lastRenderedPageBreak/>
        <w:t>PERFORMANCE AUDIT TOOLS</w:t>
      </w:r>
    </w:p>
    <w:p w14:paraId="03140A3E" w14:textId="77777777" w:rsidR="009D01A8" w:rsidRDefault="009D01A8" w:rsidP="009D01A8">
      <w:pPr>
        <w:pBdr>
          <w:top w:val="nil"/>
          <w:left w:val="nil"/>
          <w:bottom w:val="nil"/>
          <w:right w:val="nil"/>
          <w:between w:val="nil"/>
        </w:pBdr>
        <w:spacing w:after="0" w:line="240" w:lineRule="auto"/>
        <w:rPr>
          <w:rFonts w:ascii="Arial" w:eastAsia="Arial" w:hAnsi="Arial" w:cs="Arial"/>
          <w:smallCaps/>
          <w:sz w:val="12"/>
          <w:szCs w:val="12"/>
        </w:rPr>
      </w:pPr>
    </w:p>
    <w:p w14:paraId="32D99789" w14:textId="77777777" w:rsidR="009D01A8" w:rsidRDefault="009D01A8" w:rsidP="009D01A8">
      <w:pPr>
        <w:pBdr>
          <w:top w:val="nil"/>
          <w:left w:val="nil"/>
          <w:bottom w:val="nil"/>
          <w:right w:val="nil"/>
          <w:between w:val="nil"/>
        </w:pBdr>
        <w:spacing w:after="0" w:line="240" w:lineRule="auto"/>
        <w:ind w:left="426"/>
        <w:rPr>
          <w:rFonts w:ascii="Arial" w:eastAsia="Arial" w:hAnsi="Arial" w:cs="Arial"/>
        </w:rPr>
      </w:pPr>
      <w:r>
        <w:rPr>
          <w:rFonts w:ascii="Arial" w:eastAsia="Arial" w:hAnsi="Arial" w:cs="Arial"/>
        </w:rPr>
        <w:t>Only the prescribed system and tools shall be used in the submission of Modes of Verification (MOVs) and documentation of results and observations during the audit process.</w:t>
      </w:r>
    </w:p>
    <w:p w14:paraId="60972049" w14:textId="77777777" w:rsidR="009D01A8" w:rsidRDefault="009D01A8" w:rsidP="009D01A8">
      <w:pPr>
        <w:numPr>
          <w:ilvl w:val="1"/>
          <w:numId w:val="6"/>
        </w:numPr>
        <w:pBdr>
          <w:top w:val="nil"/>
          <w:left w:val="nil"/>
          <w:bottom w:val="nil"/>
          <w:right w:val="nil"/>
          <w:between w:val="nil"/>
        </w:pBdr>
        <w:spacing w:after="0" w:line="240" w:lineRule="auto"/>
        <w:ind w:left="1134"/>
        <w:rPr>
          <w:rFonts w:ascii="Arial" w:eastAsia="Arial" w:hAnsi="Arial" w:cs="Arial"/>
          <w:color w:val="000000"/>
        </w:rPr>
      </w:pPr>
      <w:r>
        <w:rPr>
          <w:rFonts w:ascii="Arial" w:eastAsia="Arial" w:hAnsi="Arial" w:cs="Arial"/>
          <w:color w:val="000000"/>
        </w:rPr>
        <w:t>Data Gathering and Capture</w:t>
      </w:r>
    </w:p>
    <w:p w14:paraId="20BE863C" w14:textId="77777777" w:rsidR="009D01A8" w:rsidRDefault="009D01A8" w:rsidP="009D01A8">
      <w:pPr>
        <w:numPr>
          <w:ilvl w:val="0"/>
          <w:numId w:val="8"/>
        </w:numPr>
        <w:pBdr>
          <w:top w:val="nil"/>
          <w:left w:val="nil"/>
          <w:bottom w:val="nil"/>
          <w:right w:val="nil"/>
          <w:between w:val="nil"/>
        </w:pBdr>
        <w:spacing w:after="0" w:line="240" w:lineRule="auto"/>
        <w:ind w:left="1560"/>
        <w:rPr>
          <w:rFonts w:ascii="Arial" w:eastAsia="Arial" w:hAnsi="Arial" w:cs="Arial"/>
          <w:color w:val="000000"/>
        </w:rPr>
      </w:pPr>
      <w:r>
        <w:rPr>
          <w:rFonts w:ascii="Arial" w:eastAsia="Arial" w:hAnsi="Arial" w:cs="Arial"/>
          <w:color w:val="000000"/>
        </w:rPr>
        <w:t>DC1 is a list of required documents to be prepared and submitted by the ADACs of component cities and municipalities to their respective City/ Municipal Local Government Operations Officer.</w:t>
      </w:r>
    </w:p>
    <w:p w14:paraId="48306CFC" w14:textId="77777777" w:rsidR="009D01A8" w:rsidRDefault="009D01A8" w:rsidP="009D01A8">
      <w:pPr>
        <w:numPr>
          <w:ilvl w:val="0"/>
          <w:numId w:val="8"/>
        </w:numPr>
        <w:pBdr>
          <w:top w:val="nil"/>
          <w:left w:val="nil"/>
          <w:bottom w:val="nil"/>
          <w:right w:val="nil"/>
          <w:between w:val="nil"/>
        </w:pBdr>
        <w:spacing w:after="0" w:line="240" w:lineRule="auto"/>
        <w:ind w:left="1560"/>
        <w:rPr>
          <w:rFonts w:ascii="Arial" w:eastAsia="Arial" w:hAnsi="Arial" w:cs="Arial"/>
          <w:color w:val="000000"/>
        </w:rPr>
      </w:pPr>
      <w:r>
        <w:rPr>
          <w:rFonts w:ascii="Arial" w:eastAsia="Arial" w:hAnsi="Arial" w:cs="Arial"/>
          <w:color w:val="000000"/>
        </w:rPr>
        <w:t>DC2 is a list of required documents to be prepared and submitted by the Provincial ADACs to their respective Provincial Director.</w:t>
      </w:r>
    </w:p>
    <w:p w14:paraId="04D1DA70" w14:textId="77777777" w:rsidR="009D01A8" w:rsidRDefault="009D01A8" w:rsidP="009D01A8">
      <w:pPr>
        <w:numPr>
          <w:ilvl w:val="1"/>
          <w:numId w:val="6"/>
        </w:numPr>
        <w:pBdr>
          <w:top w:val="nil"/>
          <w:left w:val="nil"/>
          <w:bottom w:val="nil"/>
          <w:right w:val="nil"/>
          <w:between w:val="nil"/>
        </w:pBdr>
        <w:spacing w:after="0" w:line="240" w:lineRule="auto"/>
        <w:ind w:left="1134"/>
        <w:rPr>
          <w:rFonts w:ascii="Arial" w:eastAsia="Arial" w:hAnsi="Arial" w:cs="Arial"/>
          <w:color w:val="000000"/>
        </w:rPr>
      </w:pPr>
      <w:r>
        <w:rPr>
          <w:rFonts w:ascii="Arial" w:eastAsia="Arial" w:hAnsi="Arial" w:cs="Arial"/>
          <w:color w:val="000000"/>
        </w:rPr>
        <w:t>Data Verification</w:t>
      </w:r>
    </w:p>
    <w:p w14:paraId="01B5BAD5" w14:textId="77777777" w:rsidR="009D01A8" w:rsidRPr="005103FD" w:rsidRDefault="009D01A8" w:rsidP="009D01A8">
      <w:pPr>
        <w:numPr>
          <w:ilvl w:val="0"/>
          <w:numId w:val="9"/>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The Anti-Drug Abuse Council – Functionality Monitoring System (ADAC-FMS), developed by DILG, is adopted as the official monitoring tool for ADAC functionality and performance.  The ADAC-FMS shall be used for the submission and verification of MOVs, allocation of functionality points, and generation of results and reports.</w:t>
      </w:r>
    </w:p>
    <w:p w14:paraId="33CD1D13" w14:textId="77777777" w:rsidR="009D01A8" w:rsidRDefault="009D01A8" w:rsidP="009D01A8">
      <w:pPr>
        <w:numPr>
          <w:ilvl w:val="0"/>
          <w:numId w:val="9"/>
        </w:numPr>
        <w:pBdr>
          <w:top w:val="nil"/>
          <w:left w:val="nil"/>
          <w:bottom w:val="nil"/>
          <w:right w:val="nil"/>
          <w:between w:val="nil"/>
        </w:pBdr>
        <w:spacing w:after="0" w:line="276" w:lineRule="auto"/>
        <w:rPr>
          <w:rFonts w:ascii="Arial" w:eastAsia="Arial" w:hAnsi="Arial" w:cs="Arial"/>
        </w:rPr>
      </w:pPr>
      <w:r>
        <w:rPr>
          <w:rFonts w:ascii="Arial" w:eastAsia="Arial" w:hAnsi="Arial" w:cs="Arial"/>
          <w:color w:val="000000"/>
        </w:rPr>
        <w:t>To ensure immediate availability and accessibility of data, Provincial, City, and Municipal ADAC Focal Persons shall keep the Document Checklist and all attached MOVs submitted by the ADACs for the duration of the audit process.</w:t>
      </w:r>
    </w:p>
    <w:p w14:paraId="5EE13560" w14:textId="77777777" w:rsidR="009D01A8" w:rsidRDefault="009D01A8" w:rsidP="009D01A8">
      <w:pPr>
        <w:numPr>
          <w:ilvl w:val="0"/>
          <w:numId w:val="9"/>
        </w:numPr>
        <w:pBdr>
          <w:top w:val="nil"/>
          <w:left w:val="nil"/>
          <w:bottom w:val="nil"/>
          <w:right w:val="nil"/>
          <w:between w:val="nil"/>
        </w:pBdr>
        <w:spacing w:after="160" w:line="276" w:lineRule="auto"/>
        <w:rPr>
          <w:rFonts w:ascii="Arial" w:eastAsia="Arial" w:hAnsi="Arial" w:cs="Arial"/>
        </w:rPr>
      </w:pPr>
      <w:r>
        <w:rPr>
          <w:rFonts w:ascii="Arial" w:eastAsia="Arial" w:hAnsi="Arial" w:cs="Arial"/>
          <w:color w:val="000000"/>
        </w:rPr>
        <w:t>Regional and Provincial ADAC Focal Persons shall keep copies of all signed Score Sheets for record purposes.</w:t>
      </w:r>
    </w:p>
    <w:p w14:paraId="00C97BB2" w14:textId="77777777" w:rsidR="009D01A8" w:rsidRDefault="009D01A8" w:rsidP="009D01A8">
      <w:pPr>
        <w:pBdr>
          <w:top w:val="nil"/>
          <w:left w:val="nil"/>
          <w:bottom w:val="nil"/>
          <w:right w:val="nil"/>
          <w:between w:val="nil"/>
        </w:pBdr>
        <w:spacing w:after="0" w:line="240" w:lineRule="auto"/>
        <w:ind w:left="1440"/>
        <w:rPr>
          <w:rFonts w:ascii="Arial" w:eastAsia="Arial" w:hAnsi="Arial" w:cs="Arial"/>
          <w:b/>
          <w:sz w:val="24"/>
          <w:szCs w:val="24"/>
        </w:rPr>
      </w:pPr>
    </w:p>
    <w:p w14:paraId="4C9B0AA5" w14:textId="77777777" w:rsidR="009D01A8" w:rsidRDefault="009D01A8" w:rsidP="009D01A8">
      <w:pPr>
        <w:numPr>
          <w:ilvl w:val="0"/>
          <w:numId w:val="7"/>
        </w:numPr>
        <w:pBdr>
          <w:top w:val="nil"/>
          <w:left w:val="nil"/>
          <w:bottom w:val="nil"/>
          <w:right w:val="nil"/>
          <w:between w:val="nil"/>
        </w:pBdr>
        <w:spacing w:after="0" w:line="276" w:lineRule="auto"/>
        <w:jc w:val="left"/>
        <w:rPr>
          <w:rFonts w:ascii="Arial" w:eastAsia="Arial" w:hAnsi="Arial" w:cs="Arial"/>
          <w:b/>
          <w:smallCaps/>
          <w:sz w:val="24"/>
          <w:szCs w:val="24"/>
        </w:rPr>
      </w:pPr>
      <w:r>
        <w:rPr>
          <w:rFonts w:ascii="Arial" w:eastAsia="Arial" w:hAnsi="Arial" w:cs="Arial"/>
          <w:b/>
          <w:color w:val="000000"/>
          <w:sz w:val="24"/>
          <w:szCs w:val="24"/>
        </w:rPr>
        <w:t>PERFORMANCE AUDIT PROCESS</w:t>
      </w:r>
    </w:p>
    <w:p w14:paraId="72F43182" w14:textId="77777777" w:rsidR="009D01A8" w:rsidRDefault="009D01A8" w:rsidP="009D01A8">
      <w:pPr>
        <w:pBdr>
          <w:top w:val="nil"/>
          <w:left w:val="nil"/>
          <w:bottom w:val="nil"/>
          <w:right w:val="nil"/>
          <w:between w:val="nil"/>
        </w:pBdr>
        <w:spacing w:after="0"/>
        <w:ind w:left="1080" w:hanging="720"/>
        <w:rPr>
          <w:rFonts w:ascii="Arial" w:eastAsia="Arial" w:hAnsi="Arial" w:cs="Arial"/>
          <w:sz w:val="14"/>
          <w:szCs w:val="14"/>
        </w:rPr>
      </w:pPr>
    </w:p>
    <w:p w14:paraId="1D1C3E2B" w14:textId="77777777" w:rsidR="009D01A8" w:rsidRDefault="009D01A8" w:rsidP="009D01A8">
      <w:pPr>
        <w:pBdr>
          <w:top w:val="nil"/>
          <w:left w:val="nil"/>
          <w:bottom w:val="nil"/>
          <w:right w:val="nil"/>
          <w:between w:val="nil"/>
        </w:pBdr>
        <w:ind w:left="720"/>
        <w:rPr>
          <w:rFonts w:ascii="Arial" w:eastAsia="Arial" w:hAnsi="Arial" w:cs="Arial"/>
        </w:rPr>
      </w:pPr>
      <w:r>
        <w:rPr>
          <w:rFonts w:ascii="Arial" w:eastAsia="Arial" w:hAnsi="Arial" w:cs="Arial"/>
        </w:rPr>
        <w:t>The following process and procedure shall be followed in the conduct of the performance audit:</w:t>
      </w:r>
    </w:p>
    <w:p w14:paraId="5F89A780" w14:textId="77777777" w:rsidR="009D01A8" w:rsidRDefault="009D01A8" w:rsidP="009D01A8">
      <w:pPr>
        <w:numPr>
          <w:ilvl w:val="0"/>
          <w:numId w:val="10"/>
        </w:numPr>
        <w:spacing w:after="0"/>
        <w:ind w:left="1080"/>
        <w:rPr>
          <w:rFonts w:ascii="Arial" w:eastAsia="Arial" w:hAnsi="Arial" w:cs="Arial"/>
        </w:rPr>
      </w:pPr>
      <w:r>
        <w:rPr>
          <w:rFonts w:ascii="Arial" w:eastAsia="Arial" w:hAnsi="Arial" w:cs="Arial"/>
        </w:rPr>
        <w:t>Creation of Accounts</w:t>
      </w:r>
    </w:p>
    <w:p w14:paraId="3EEBB5F6" w14:textId="77777777" w:rsidR="009D01A8" w:rsidRDefault="009D01A8" w:rsidP="009D01A8">
      <w:pPr>
        <w:numPr>
          <w:ilvl w:val="0"/>
          <w:numId w:val="12"/>
        </w:numPr>
        <w:spacing w:after="0"/>
        <w:ind w:left="1440"/>
        <w:rPr>
          <w:rFonts w:ascii="Arial" w:eastAsia="Arial" w:hAnsi="Arial" w:cs="Arial"/>
        </w:rPr>
      </w:pPr>
      <w:r>
        <w:rPr>
          <w:rFonts w:ascii="Arial" w:eastAsia="Arial" w:hAnsi="Arial" w:cs="Arial"/>
        </w:rPr>
        <w:t>DILG National shall create accounts for the Regional Technical Assistants.</w:t>
      </w:r>
    </w:p>
    <w:p w14:paraId="73B07DC0" w14:textId="77777777" w:rsidR="009D01A8" w:rsidRDefault="009D01A8" w:rsidP="009D01A8">
      <w:pPr>
        <w:numPr>
          <w:ilvl w:val="0"/>
          <w:numId w:val="12"/>
        </w:numPr>
        <w:spacing w:after="6"/>
        <w:ind w:left="1440"/>
        <w:rPr>
          <w:rFonts w:ascii="Arial" w:eastAsia="Arial" w:hAnsi="Arial" w:cs="Arial"/>
        </w:rPr>
      </w:pPr>
      <w:r>
        <w:rPr>
          <w:rFonts w:ascii="Arial" w:eastAsia="Arial" w:hAnsi="Arial" w:cs="Arial"/>
        </w:rPr>
        <w:t>DILG Regional Technical Assistants shall create accounts for the Regional Managers, ADAC Regional Audit Teams, ADAC Provincial Audit Teams, and LGU ADAC focal persons.</w:t>
      </w:r>
    </w:p>
    <w:p w14:paraId="54D5115B" w14:textId="77777777" w:rsidR="009D01A8" w:rsidRDefault="009D01A8" w:rsidP="009D01A8">
      <w:pPr>
        <w:spacing w:after="6"/>
        <w:ind w:left="1080" w:hanging="360"/>
        <w:rPr>
          <w:rFonts w:ascii="Arial" w:eastAsia="Arial" w:hAnsi="Arial" w:cs="Arial"/>
        </w:rPr>
      </w:pPr>
      <w:r>
        <w:rPr>
          <w:rFonts w:ascii="Arial" w:eastAsia="Arial" w:hAnsi="Arial" w:cs="Arial"/>
        </w:rPr>
        <w:t>b.</w:t>
      </w:r>
      <w:r>
        <w:rPr>
          <w:rFonts w:ascii="Arial" w:eastAsia="Arial" w:hAnsi="Arial" w:cs="Arial"/>
        </w:rPr>
        <w:tab/>
      </w:r>
      <w:r>
        <w:rPr>
          <w:rFonts w:ascii="Arial" w:eastAsia="Arial" w:hAnsi="Arial" w:cs="Arial"/>
          <w:color w:val="000000"/>
        </w:rPr>
        <w:t>Data Gathering and Capture</w:t>
      </w:r>
    </w:p>
    <w:p w14:paraId="0D07AB66" w14:textId="77777777" w:rsidR="009D01A8" w:rsidRDefault="009D01A8" w:rsidP="009D01A8">
      <w:pPr>
        <w:numPr>
          <w:ilvl w:val="0"/>
          <w:numId w:val="4"/>
        </w:numPr>
        <w:spacing w:after="0" w:line="276" w:lineRule="auto"/>
        <w:rPr>
          <w:rFonts w:ascii="Arial" w:eastAsia="Arial" w:hAnsi="Arial" w:cs="Arial"/>
        </w:rPr>
      </w:pPr>
      <w:r>
        <w:rPr>
          <w:rFonts w:ascii="Arial" w:eastAsia="Arial" w:hAnsi="Arial" w:cs="Arial"/>
        </w:rPr>
        <w:t>Within the specified period, all LGU ADAC focal persons shall gather all required Modes of Verification (MOVs) as listed in the Document Checklist.</w:t>
      </w:r>
    </w:p>
    <w:p w14:paraId="7A472BA3" w14:textId="77777777" w:rsidR="009D01A8" w:rsidRDefault="009D01A8" w:rsidP="009D01A8">
      <w:pPr>
        <w:numPr>
          <w:ilvl w:val="0"/>
          <w:numId w:val="4"/>
        </w:numPr>
        <w:spacing w:after="0" w:line="276" w:lineRule="auto"/>
        <w:rPr>
          <w:rFonts w:ascii="Arial" w:eastAsia="Arial" w:hAnsi="Arial" w:cs="Arial"/>
        </w:rPr>
      </w:pPr>
      <w:r>
        <w:rPr>
          <w:rFonts w:ascii="Arial" w:eastAsia="Arial" w:hAnsi="Arial" w:cs="Arial"/>
        </w:rPr>
        <w:t>Upon gathering all required MOVs, the LGU ADAC focal persons shall endorse all gathered MOVs to the Local Chief Executive for signature.</w:t>
      </w:r>
    </w:p>
    <w:p w14:paraId="17620647" w14:textId="77777777" w:rsidR="009D01A8" w:rsidRDefault="009D01A8" w:rsidP="009D01A8">
      <w:pPr>
        <w:numPr>
          <w:ilvl w:val="0"/>
          <w:numId w:val="4"/>
        </w:numPr>
        <w:spacing w:after="0" w:line="276" w:lineRule="auto"/>
        <w:rPr>
          <w:rFonts w:ascii="Arial" w:eastAsia="Arial" w:hAnsi="Arial" w:cs="Arial"/>
        </w:rPr>
      </w:pPr>
      <w:r>
        <w:rPr>
          <w:rFonts w:ascii="Arial" w:eastAsia="Arial" w:hAnsi="Arial" w:cs="Arial"/>
        </w:rPr>
        <w:t xml:space="preserve">Upon signing of all gathered MOVs, the Local Chief Executive shall endorse </w:t>
      </w:r>
      <w:proofErr w:type="gramStart"/>
      <w:r>
        <w:rPr>
          <w:rFonts w:ascii="Arial" w:eastAsia="Arial" w:hAnsi="Arial" w:cs="Arial"/>
        </w:rPr>
        <w:t>all of</w:t>
      </w:r>
      <w:proofErr w:type="gramEnd"/>
      <w:r>
        <w:rPr>
          <w:rFonts w:ascii="Arial" w:eastAsia="Arial" w:hAnsi="Arial" w:cs="Arial"/>
        </w:rPr>
        <w:t xml:space="preserve"> the signed MOVs back to the LGU ADAC focal persons to upload all gathered MOVs and answer the necessary data capture questions using the ADAC-Functionality Monitoring System (ADAC-FMS). To complete the data capture process, an Attestation (attached) to the authenticity of gathered MOVs shall be signed by ADAC Chairperson.</w:t>
      </w:r>
    </w:p>
    <w:p w14:paraId="26978139" w14:textId="77777777" w:rsidR="009D01A8" w:rsidRDefault="009D01A8" w:rsidP="009D01A8">
      <w:pPr>
        <w:numPr>
          <w:ilvl w:val="0"/>
          <w:numId w:val="4"/>
        </w:numPr>
        <w:spacing w:after="0" w:line="276" w:lineRule="auto"/>
        <w:rPr>
          <w:rFonts w:ascii="Arial" w:eastAsia="Arial" w:hAnsi="Arial" w:cs="Arial"/>
        </w:rPr>
      </w:pPr>
      <w:r>
        <w:rPr>
          <w:rFonts w:ascii="Arial" w:eastAsia="Arial" w:hAnsi="Arial" w:cs="Arial"/>
        </w:rPr>
        <w:t>After uploading MOVs on the ADAC-FMS, the original copy of all MOVs shall be submitted to their respective audit teams for assessment process. In the case of City and Municipality ADAC, submit to APT, in the case of HUCs, ICC and Province submit to the ART.</w:t>
      </w:r>
    </w:p>
    <w:p w14:paraId="1D4540B9" w14:textId="77777777" w:rsidR="009D01A8" w:rsidRDefault="009D01A8" w:rsidP="009D01A8">
      <w:pPr>
        <w:numPr>
          <w:ilvl w:val="0"/>
          <w:numId w:val="4"/>
        </w:numPr>
        <w:spacing w:after="0" w:line="276" w:lineRule="auto"/>
        <w:rPr>
          <w:rFonts w:ascii="Arial" w:eastAsia="Arial" w:hAnsi="Arial" w:cs="Arial"/>
        </w:rPr>
      </w:pPr>
      <w:r>
        <w:rPr>
          <w:rFonts w:ascii="Arial" w:eastAsia="Arial" w:hAnsi="Arial" w:cs="Arial"/>
        </w:rPr>
        <w:lastRenderedPageBreak/>
        <w:t xml:space="preserve">To ensure availability and accessibility of data, DILG ADAC Focal Persons shall keep a copy of Document Checklist and all attached MOVs submitted by the ADACs for the duration of the audit process. </w:t>
      </w:r>
    </w:p>
    <w:p w14:paraId="04D0CAF5" w14:textId="77777777" w:rsidR="009D01A8" w:rsidRDefault="009D01A8" w:rsidP="009D01A8">
      <w:pPr>
        <w:pBdr>
          <w:top w:val="nil"/>
          <w:left w:val="nil"/>
          <w:bottom w:val="nil"/>
          <w:right w:val="nil"/>
          <w:between w:val="nil"/>
        </w:pBdr>
        <w:spacing w:after="0" w:line="276" w:lineRule="auto"/>
        <w:ind w:left="1080" w:hanging="360"/>
        <w:rPr>
          <w:rFonts w:ascii="Arial" w:eastAsia="Arial" w:hAnsi="Arial" w:cs="Arial"/>
        </w:rPr>
      </w:pPr>
      <w:r>
        <w:rPr>
          <w:rFonts w:ascii="Arial" w:eastAsia="Arial" w:hAnsi="Arial" w:cs="Arial"/>
        </w:rPr>
        <w:t xml:space="preserve">c. </w:t>
      </w:r>
      <w:r>
        <w:rPr>
          <w:rFonts w:ascii="Arial" w:eastAsia="Arial" w:hAnsi="Arial" w:cs="Arial"/>
        </w:rPr>
        <w:tab/>
        <w:t>Audit Phase</w:t>
      </w:r>
    </w:p>
    <w:p w14:paraId="5906D2FF" w14:textId="77777777" w:rsidR="009D01A8" w:rsidRDefault="009D01A8" w:rsidP="009D01A8">
      <w:pPr>
        <w:numPr>
          <w:ilvl w:val="0"/>
          <w:numId w:val="13"/>
        </w:numPr>
        <w:spacing w:after="0" w:line="276" w:lineRule="auto"/>
        <w:rPr>
          <w:rFonts w:ascii="Arial" w:eastAsia="Arial" w:hAnsi="Arial" w:cs="Arial"/>
        </w:rPr>
      </w:pPr>
      <w:r>
        <w:rPr>
          <w:rFonts w:ascii="Arial" w:eastAsia="Arial" w:hAnsi="Arial" w:cs="Arial"/>
        </w:rPr>
        <w:t>Upon the submission of all MOVs to their respective audit teams, DILG shall convene the APT/ART to conduct the audit process.</w:t>
      </w:r>
    </w:p>
    <w:p w14:paraId="75D9711A" w14:textId="77777777" w:rsidR="009D01A8" w:rsidRDefault="009D01A8" w:rsidP="009D01A8">
      <w:pPr>
        <w:numPr>
          <w:ilvl w:val="0"/>
          <w:numId w:val="13"/>
        </w:numPr>
        <w:spacing w:after="0" w:line="276" w:lineRule="auto"/>
        <w:rPr>
          <w:rFonts w:ascii="Arial" w:eastAsia="Arial" w:hAnsi="Arial" w:cs="Arial"/>
        </w:rPr>
      </w:pPr>
      <w:r>
        <w:rPr>
          <w:rFonts w:ascii="Arial" w:eastAsia="Arial" w:hAnsi="Arial" w:cs="Arial"/>
        </w:rPr>
        <w:t>The ART/APT shall use the ADAC-FMS in encoding all the data from the original MOVs submitted by the LGU ADAC Focal Persons to conduct the audit.</w:t>
      </w:r>
    </w:p>
    <w:p w14:paraId="31D4E4F0" w14:textId="77777777" w:rsidR="009D01A8" w:rsidRDefault="009D01A8" w:rsidP="009D01A8">
      <w:pPr>
        <w:numPr>
          <w:ilvl w:val="0"/>
          <w:numId w:val="13"/>
        </w:numPr>
        <w:spacing w:after="0" w:line="276" w:lineRule="auto"/>
        <w:rPr>
          <w:rFonts w:ascii="Arial" w:eastAsia="Arial" w:hAnsi="Arial" w:cs="Arial"/>
        </w:rPr>
      </w:pPr>
      <w:r>
        <w:rPr>
          <w:rFonts w:ascii="Arial" w:eastAsia="Arial" w:hAnsi="Arial" w:cs="Arial"/>
        </w:rPr>
        <w:t>After the conduct of audit, the APT shall generate the report through the Functionality Monitoring System.</w:t>
      </w:r>
    </w:p>
    <w:p w14:paraId="4F5F93A4" w14:textId="77777777" w:rsidR="009D01A8" w:rsidRDefault="009D01A8" w:rsidP="009D01A8">
      <w:pPr>
        <w:numPr>
          <w:ilvl w:val="0"/>
          <w:numId w:val="13"/>
        </w:numPr>
        <w:spacing w:after="0" w:line="276" w:lineRule="auto"/>
        <w:rPr>
          <w:rFonts w:ascii="Arial" w:eastAsia="Arial" w:hAnsi="Arial" w:cs="Arial"/>
        </w:rPr>
      </w:pPr>
      <w:r>
        <w:rPr>
          <w:rFonts w:ascii="Arial" w:eastAsia="Arial" w:hAnsi="Arial" w:cs="Arial"/>
        </w:rPr>
        <w:t xml:space="preserve">Upon generating the downloaded reports from the Functionality Monitoring System, the APT shall sign the downloaded </w:t>
      </w:r>
      <w:proofErr w:type="gramStart"/>
      <w:r>
        <w:rPr>
          <w:rFonts w:ascii="Arial" w:eastAsia="Arial" w:hAnsi="Arial" w:cs="Arial"/>
        </w:rPr>
        <w:t>reports</w:t>
      </w:r>
      <w:proofErr w:type="gramEnd"/>
    </w:p>
    <w:p w14:paraId="20AFED38" w14:textId="77777777" w:rsidR="009D01A8" w:rsidRDefault="009D01A8" w:rsidP="009D01A8">
      <w:pPr>
        <w:numPr>
          <w:ilvl w:val="0"/>
          <w:numId w:val="13"/>
        </w:numPr>
        <w:spacing w:after="0" w:line="276" w:lineRule="auto"/>
        <w:rPr>
          <w:rFonts w:ascii="Arial" w:eastAsia="Arial" w:hAnsi="Arial" w:cs="Arial"/>
        </w:rPr>
      </w:pPr>
      <w:r>
        <w:rPr>
          <w:rFonts w:ascii="Arial" w:eastAsia="Arial" w:hAnsi="Arial" w:cs="Arial"/>
        </w:rPr>
        <w:t>Upon signing of downloaded reports, the APT shall reupload the signed generated reports to the FMS and shall be endorsed to the ART.</w:t>
      </w:r>
    </w:p>
    <w:p w14:paraId="182C53BD" w14:textId="77777777" w:rsidR="009D01A8" w:rsidRDefault="009D01A8" w:rsidP="009D01A8">
      <w:pPr>
        <w:pBdr>
          <w:top w:val="nil"/>
          <w:left w:val="nil"/>
          <w:bottom w:val="nil"/>
          <w:right w:val="nil"/>
          <w:between w:val="nil"/>
        </w:pBdr>
        <w:spacing w:after="0" w:line="276" w:lineRule="auto"/>
        <w:ind w:left="1080" w:hanging="360"/>
        <w:rPr>
          <w:rFonts w:ascii="Arial" w:eastAsia="Arial" w:hAnsi="Arial" w:cs="Arial"/>
        </w:rPr>
      </w:pPr>
      <w:r>
        <w:rPr>
          <w:rFonts w:ascii="Arial" w:eastAsia="Arial" w:hAnsi="Arial" w:cs="Arial"/>
        </w:rPr>
        <w:t xml:space="preserve">d. </w:t>
      </w:r>
      <w:r>
        <w:rPr>
          <w:rFonts w:ascii="Arial" w:eastAsia="Arial" w:hAnsi="Arial" w:cs="Arial"/>
        </w:rPr>
        <w:tab/>
        <w:t>Submission of Audit Result</w:t>
      </w:r>
    </w:p>
    <w:p w14:paraId="77953DB1" w14:textId="77777777" w:rsidR="009D01A8" w:rsidRDefault="009D01A8" w:rsidP="009D01A8">
      <w:pPr>
        <w:numPr>
          <w:ilvl w:val="0"/>
          <w:numId w:val="14"/>
        </w:numPr>
        <w:pBdr>
          <w:top w:val="nil"/>
          <w:left w:val="nil"/>
          <w:bottom w:val="nil"/>
          <w:right w:val="nil"/>
          <w:between w:val="nil"/>
        </w:pBdr>
        <w:spacing w:after="0" w:line="276" w:lineRule="auto"/>
        <w:rPr>
          <w:rFonts w:ascii="Arial" w:eastAsia="Arial" w:hAnsi="Arial" w:cs="Arial"/>
        </w:rPr>
      </w:pPr>
      <w:r>
        <w:rPr>
          <w:rFonts w:ascii="Arial" w:eastAsia="Arial" w:hAnsi="Arial" w:cs="Arial"/>
        </w:rPr>
        <w:t xml:space="preserve">After the ART has received </w:t>
      </w:r>
      <w:proofErr w:type="gramStart"/>
      <w:r>
        <w:rPr>
          <w:rFonts w:ascii="Arial" w:eastAsia="Arial" w:hAnsi="Arial" w:cs="Arial"/>
        </w:rPr>
        <w:t>all of</w:t>
      </w:r>
      <w:proofErr w:type="gramEnd"/>
      <w:r>
        <w:rPr>
          <w:rFonts w:ascii="Arial" w:eastAsia="Arial" w:hAnsi="Arial" w:cs="Arial"/>
        </w:rPr>
        <w:t xml:space="preserve"> the generated reports from the FMS, the ART shall consolidate all of the generated reports of result.</w:t>
      </w:r>
    </w:p>
    <w:p w14:paraId="336CACCF" w14:textId="77777777" w:rsidR="009D01A8" w:rsidRDefault="009D01A8" w:rsidP="009D01A8">
      <w:pPr>
        <w:numPr>
          <w:ilvl w:val="0"/>
          <w:numId w:val="14"/>
        </w:numPr>
        <w:spacing w:after="0" w:line="276" w:lineRule="auto"/>
        <w:rPr>
          <w:rFonts w:ascii="Arial" w:eastAsia="Arial" w:hAnsi="Arial" w:cs="Arial"/>
        </w:rPr>
      </w:pPr>
      <w:r>
        <w:rPr>
          <w:rFonts w:ascii="Arial" w:eastAsia="Arial" w:hAnsi="Arial" w:cs="Arial"/>
        </w:rPr>
        <w:t xml:space="preserve">Upon consolidating </w:t>
      </w:r>
      <w:proofErr w:type="gramStart"/>
      <w:r>
        <w:rPr>
          <w:rFonts w:ascii="Arial" w:eastAsia="Arial" w:hAnsi="Arial" w:cs="Arial"/>
        </w:rPr>
        <w:t>all of</w:t>
      </w:r>
      <w:proofErr w:type="gramEnd"/>
      <w:r>
        <w:rPr>
          <w:rFonts w:ascii="Arial" w:eastAsia="Arial" w:hAnsi="Arial" w:cs="Arial"/>
        </w:rPr>
        <w:t xml:space="preserve"> the reports of results, the ART shall endorse all the consolidated reports to the ANT.</w:t>
      </w:r>
    </w:p>
    <w:p w14:paraId="6B2E3E43" w14:textId="77777777" w:rsidR="009D01A8" w:rsidRDefault="009D01A8" w:rsidP="009D01A8">
      <w:pPr>
        <w:numPr>
          <w:ilvl w:val="0"/>
          <w:numId w:val="14"/>
        </w:numPr>
        <w:spacing w:after="0" w:line="276" w:lineRule="auto"/>
        <w:rPr>
          <w:rFonts w:ascii="Arial" w:eastAsia="Arial" w:hAnsi="Arial" w:cs="Arial"/>
        </w:rPr>
      </w:pPr>
      <w:r>
        <w:rPr>
          <w:rFonts w:ascii="Arial" w:eastAsia="Arial" w:hAnsi="Arial" w:cs="Arial"/>
        </w:rPr>
        <w:t>The ANT shall consolidate all submitted regional reports in preparation for the calibration and finalization of audit results.</w:t>
      </w:r>
    </w:p>
    <w:p w14:paraId="681791F7" w14:textId="77777777" w:rsidR="009D01A8" w:rsidRDefault="009D01A8" w:rsidP="009D01A8">
      <w:pPr>
        <w:numPr>
          <w:ilvl w:val="0"/>
          <w:numId w:val="14"/>
        </w:numPr>
        <w:spacing w:after="0" w:line="276" w:lineRule="auto"/>
        <w:rPr>
          <w:rFonts w:ascii="Arial" w:eastAsia="Arial" w:hAnsi="Arial" w:cs="Arial"/>
        </w:rPr>
      </w:pPr>
      <w:r>
        <w:rPr>
          <w:rFonts w:ascii="Arial" w:eastAsia="Arial" w:hAnsi="Arial" w:cs="Arial"/>
        </w:rPr>
        <w:t>All reports submitted by each audit team shall be in hard copy and soft copy.</w:t>
      </w:r>
    </w:p>
    <w:p w14:paraId="6B4793DC" w14:textId="77777777" w:rsidR="009D01A8" w:rsidRDefault="009D01A8" w:rsidP="009D01A8">
      <w:pPr>
        <w:numPr>
          <w:ilvl w:val="0"/>
          <w:numId w:val="14"/>
        </w:numPr>
        <w:spacing w:after="0" w:line="276" w:lineRule="auto"/>
        <w:rPr>
          <w:rFonts w:ascii="Arial" w:eastAsia="Arial" w:hAnsi="Arial" w:cs="Arial"/>
        </w:rPr>
      </w:pPr>
      <w:r>
        <w:rPr>
          <w:rFonts w:ascii="Arial" w:eastAsia="Arial" w:hAnsi="Arial" w:cs="Arial"/>
          <w:sz w:val="14"/>
          <w:szCs w:val="14"/>
        </w:rPr>
        <w:t xml:space="preserve"> </w:t>
      </w:r>
      <w:r>
        <w:rPr>
          <w:rFonts w:ascii="Arial" w:eastAsia="Arial" w:hAnsi="Arial" w:cs="Arial"/>
        </w:rPr>
        <w:t>All Regional reports submitted to ANT, shall be declared as valid and final.</w:t>
      </w:r>
    </w:p>
    <w:p w14:paraId="340044AD" w14:textId="77777777" w:rsidR="009D01A8" w:rsidRDefault="009D01A8" w:rsidP="009D01A8">
      <w:pPr>
        <w:pBdr>
          <w:top w:val="nil"/>
          <w:left w:val="nil"/>
          <w:bottom w:val="nil"/>
          <w:right w:val="nil"/>
          <w:between w:val="nil"/>
        </w:pBdr>
        <w:spacing w:after="0" w:line="276" w:lineRule="auto"/>
        <w:ind w:left="1080" w:hanging="360"/>
        <w:rPr>
          <w:rFonts w:ascii="Arial" w:eastAsia="Arial" w:hAnsi="Arial" w:cs="Arial"/>
        </w:rPr>
      </w:pPr>
      <w:r>
        <w:rPr>
          <w:rFonts w:ascii="Arial" w:eastAsia="Arial" w:hAnsi="Arial" w:cs="Arial"/>
        </w:rPr>
        <w:t xml:space="preserve">e. </w:t>
      </w:r>
      <w:r>
        <w:rPr>
          <w:rFonts w:ascii="Arial" w:eastAsia="Arial" w:hAnsi="Arial" w:cs="Arial"/>
        </w:rPr>
        <w:tab/>
        <w:t>Audit Results Calibration and Finalization</w:t>
      </w:r>
    </w:p>
    <w:p w14:paraId="09576E1A" w14:textId="77777777" w:rsidR="009D01A8" w:rsidRDefault="009D01A8" w:rsidP="009D01A8">
      <w:pPr>
        <w:numPr>
          <w:ilvl w:val="0"/>
          <w:numId w:val="11"/>
        </w:numPr>
        <w:spacing w:after="0"/>
        <w:rPr>
          <w:rFonts w:ascii="Arial" w:eastAsia="Arial" w:hAnsi="Arial" w:cs="Arial"/>
        </w:rPr>
      </w:pPr>
      <w:r>
        <w:rPr>
          <w:rFonts w:ascii="Arial" w:eastAsia="Arial" w:hAnsi="Arial" w:cs="Arial"/>
        </w:rPr>
        <w:t>The BLGS, through the DILG PADS-PMO, shall convene the ANT to conduct the calibration and finalization of Audit Results.</w:t>
      </w:r>
    </w:p>
    <w:p w14:paraId="7A279955" w14:textId="77777777" w:rsidR="009D01A8" w:rsidRDefault="009D01A8" w:rsidP="009D01A8">
      <w:pPr>
        <w:numPr>
          <w:ilvl w:val="0"/>
          <w:numId w:val="11"/>
        </w:numPr>
        <w:spacing w:after="0"/>
        <w:rPr>
          <w:rFonts w:ascii="Arial" w:eastAsia="Arial" w:hAnsi="Arial" w:cs="Arial"/>
        </w:rPr>
      </w:pPr>
      <w:r>
        <w:rPr>
          <w:rFonts w:ascii="Arial" w:eastAsia="Arial" w:hAnsi="Arial" w:cs="Arial"/>
          <w:sz w:val="14"/>
          <w:szCs w:val="14"/>
        </w:rPr>
        <w:t xml:space="preserve"> </w:t>
      </w:r>
      <w:r>
        <w:rPr>
          <w:rFonts w:ascii="Arial" w:eastAsia="Arial" w:hAnsi="Arial" w:cs="Arial"/>
        </w:rPr>
        <w:t>The ANT shall consolidate, calibrate, deliberate, and finalize the audit results.</w:t>
      </w:r>
    </w:p>
    <w:p w14:paraId="5C32536E" w14:textId="77777777" w:rsidR="009D01A8" w:rsidRDefault="009D01A8" w:rsidP="009D01A8">
      <w:pPr>
        <w:numPr>
          <w:ilvl w:val="0"/>
          <w:numId w:val="11"/>
        </w:numPr>
        <w:spacing w:after="0"/>
        <w:rPr>
          <w:rFonts w:ascii="Arial" w:eastAsia="Arial" w:hAnsi="Arial" w:cs="Arial"/>
        </w:rPr>
      </w:pPr>
      <w:r>
        <w:rPr>
          <w:rFonts w:ascii="Arial" w:eastAsia="Arial" w:hAnsi="Arial" w:cs="Arial"/>
        </w:rPr>
        <w:t>Once the results are finalized, the DILG PADS-PMO shall generate the National Reporting Form (NRF) using the ADAC-FMS.</w:t>
      </w:r>
    </w:p>
    <w:p w14:paraId="11B77F0D" w14:textId="77777777" w:rsidR="009D01A8" w:rsidRDefault="009D01A8" w:rsidP="009D01A8">
      <w:pPr>
        <w:numPr>
          <w:ilvl w:val="0"/>
          <w:numId w:val="11"/>
        </w:numPr>
        <w:spacing w:after="0"/>
        <w:rPr>
          <w:rFonts w:ascii="Arial" w:eastAsia="Arial" w:hAnsi="Arial" w:cs="Arial"/>
        </w:rPr>
      </w:pPr>
      <w:r>
        <w:rPr>
          <w:rFonts w:ascii="Arial" w:eastAsia="Arial" w:hAnsi="Arial" w:cs="Arial"/>
        </w:rPr>
        <w:t xml:space="preserve">Once the ANT generated the national reports, it shall be presented to the SILG and shall be declared as valid and final. </w:t>
      </w:r>
    </w:p>
    <w:p w14:paraId="4791D244" w14:textId="77777777" w:rsidR="009D01A8" w:rsidRDefault="009D01A8" w:rsidP="009D01A8">
      <w:pPr>
        <w:pBdr>
          <w:top w:val="nil"/>
          <w:left w:val="nil"/>
          <w:bottom w:val="nil"/>
          <w:right w:val="nil"/>
          <w:between w:val="nil"/>
        </w:pBdr>
        <w:spacing w:after="0"/>
        <w:ind w:left="0"/>
        <w:rPr>
          <w:rFonts w:ascii="Arial" w:eastAsia="Arial" w:hAnsi="Arial" w:cs="Arial"/>
        </w:rPr>
      </w:pPr>
    </w:p>
    <w:p w14:paraId="403C4B8D" w14:textId="77777777" w:rsidR="009D01A8" w:rsidRDefault="009D01A8" w:rsidP="009D01A8">
      <w:pPr>
        <w:numPr>
          <w:ilvl w:val="0"/>
          <w:numId w:val="7"/>
        </w:numPr>
        <w:pBdr>
          <w:top w:val="nil"/>
          <w:left w:val="nil"/>
          <w:bottom w:val="nil"/>
          <w:right w:val="nil"/>
          <w:between w:val="nil"/>
        </w:pBdr>
        <w:spacing w:after="200" w:line="276" w:lineRule="auto"/>
        <w:rPr>
          <w:rFonts w:ascii="Arial" w:eastAsia="Arial" w:hAnsi="Arial" w:cs="Arial"/>
          <w:b/>
        </w:rPr>
      </w:pPr>
      <w:r>
        <w:rPr>
          <w:rFonts w:ascii="Arial" w:eastAsia="Arial" w:hAnsi="Arial" w:cs="Arial"/>
          <w:b/>
          <w:color w:val="000000"/>
        </w:rPr>
        <w:t>PERFORMANCE AUDIT CRITERIA</w:t>
      </w:r>
    </w:p>
    <w:p w14:paraId="642B39AF" w14:textId="77777777" w:rsidR="009D01A8" w:rsidRDefault="009D01A8" w:rsidP="009D01A8">
      <w:pPr>
        <w:pBdr>
          <w:top w:val="nil"/>
          <w:left w:val="nil"/>
          <w:bottom w:val="nil"/>
          <w:right w:val="nil"/>
          <w:between w:val="nil"/>
        </w:pBdr>
        <w:ind w:left="720"/>
        <w:rPr>
          <w:rFonts w:ascii="Arial" w:eastAsia="Arial" w:hAnsi="Arial" w:cs="Arial"/>
        </w:rPr>
      </w:pPr>
      <w:r>
        <w:rPr>
          <w:rFonts w:ascii="Arial" w:eastAsia="Arial" w:hAnsi="Arial" w:cs="Arial"/>
        </w:rPr>
        <w:t>The following main and sub performance indicators for the CADAC/MADAC will be measured based on the provisions set forth in DILG-DDB JMC No. 2018-01:</w:t>
      </w:r>
    </w:p>
    <w:p w14:paraId="6950EA21" w14:textId="77777777" w:rsidR="009D01A8" w:rsidRDefault="009D01A8" w:rsidP="009D01A8">
      <w:pPr>
        <w:numPr>
          <w:ilvl w:val="1"/>
          <w:numId w:val="7"/>
        </w:numPr>
        <w:pBdr>
          <w:top w:val="nil"/>
          <w:left w:val="nil"/>
          <w:bottom w:val="nil"/>
          <w:right w:val="nil"/>
          <w:between w:val="nil"/>
        </w:pBdr>
        <w:spacing w:after="0" w:line="276" w:lineRule="auto"/>
        <w:ind w:left="1418"/>
        <w:rPr>
          <w:rFonts w:ascii="Arial" w:eastAsia="Arial" w:hAnsi="Arial" w:cs="Arial"/>
        </w:rPr>
      </w:pPr>
      <w:r>
        <w:rPr>
          <w:rFonts w:ascii="Arial" w:eastAsia="Arial" w:hAnsi="Arial" w:cs="Arial"/>
          <w:color w:val="000000"/>
        </w:rPr>
        <w:t xml:space="preserve">Creation / Reorganization of ADAC </w:t>
      </w:r>
      <w:r>
        <w:rPr>
          <w:rFonts w:ascii="Arial" w:eastAsia="Arial" w:hAnsi="Arial" w:cs="Arial"/>
        </w:rPr>
        <w:t>(10 points)</w:t>
      </w:r>
    </w:p>
    <w:p w14:paraId="6032E1FB" w14:textId="77777777" w:rsidR="009D01A8" w:rsidRDefault="009D01A8" w:rsidP="009D01A8">
      <w:pPr>
        <w:numPr>
          <w:ilvl w:val="2"/>
          <w:numId w:val="7"/>
        </w:numPr>
        <w:pBdr>
          <w:top w:val="nil"/>
          <w:left w:val="nil"/>
          <w:bottom w:val="nil"/>
          <w:right w:val="nil"/>
          <w:between w:val="nil"/>
        </w:pBdr>
        <w:spacing w:after="0" w:line="276" w:lineRule="auto"/>
        <w:rPr>
          <w:rFonts w:ascii="Arial" w:eastAsia="Arial" w:hAnsi="Arial" w:cs="Arial"/>
        </w:rPr>
      </w:pPr>
      <w:r>
        <w:rPr>
          <w:rFonts w:ascii="Arial" w:eastAsia="Arial" w:hAnsi="Arial" w:cs="Arial"/>
        </w:rPr>
        <w:t xml:space="preserve">Creation / Reorganization of CADAC / MADAC </w:t>
      </w:r>
      <w:r>
        <w:rPr>
          <w:rFonts w:ascii="Arial" w:eastAsia="Arial" w:hAnsi="Arial" w:cs="Arial"/>
          <w:color w:val="000000"/>
        </w:rPr>
        <w:t>(5 points)</w:t>
      </w:r>
    </w:p>
    <w:p w14:paraId="1B144CE7" w14:textId="77777777" w:rsidR="009D01A8" w:rsidRDefault="009D01A8" w:rsidP="009D01A8">
      <w:pPr>
        <w:numPr>
          <w:ilvl w:val="2"/>
          <w:numId w:val="7"/>
        </w:numPr>
        <w:pBdr>
          <w:top w:val="nil"/>
          <w:left w:val="nil"/>
          <w:bottom w:val="nil"/>
          <w:right w:val="nil"/>
          <w:between w:val="nil"/>
        </w:pBdr>
        <w:spacing w:after="0" w:line="276" w:lineRule="auto"/>
        <w:rPr>
          <w:rFonts w:ascii="Arial" w:eastAsia="Arial" w:hAnsi="Arial" w:cs="Arial"/>
        </w:rPr>
      </w:pPr>
      <w:r>
        <w:rPr>
          <w:rFonts w:ascii="Arial" w:eastAsia="Arial" w:hAnsi="Arial" w:cs="Arial"/>
          <w:color w:val="000000"/>
        </w:rPr>
        <w:t xml:space="preserve">Composition of </w:t>
      </w:r>
      <w:r>
        <w:rPr>
          <w:rFonts w:ascii="Arial" w:eastAsia="Arial" w:hAnsi="Arial" w:cs="Arial"/>
        </w:rPr>
        <w:t>members</w:t>
      </w:r>
      <w:r>
        <w:rPr>
          <w:rFonts w:ascii="Arial" w:eastAsia="Arial" w:hAnsi="Arial" w:cs="Arial"/>
          <w:color w:val="000000"/>
        </w:rPr>
        <w:t xml:space="preserve"> complaint to DILG-DDB JMC No. 2018-01 </w:t>
      </w:r>
    </w:p>
    <w:p w14:paraId="74D6F0EA" w14:textId="77777777" w:rsidR="009D01A8" w:rsidRDefault="009D01A8" w:rsidP="009D01A8">
      <w:pPr>
        <w:pBdr>
          <w:top w:val="nil"/>
          <w:left w:val="nil"/>
          <w:bottom w:val="nil"/>
          <w:right w:val="nil"/>
          <w:between w:val="nil"/>
        </w:pBdr>
        <w:spacing w:after="0" w:line="276" w:lineRule="auto"/>
        <w:ind w:left="2160"/>
        <w:rPr>
          <w:rFonts w:ascii="Arial" w:eastAsia="Arial" w:hAnsi="Arial" w:cs="Arial"/>
        </w:rPr>
      </w:pPr>
      <w:r>
        <w:rPr>
          <w:rFonts w:ascii="Arial" w:eastAsia="Arial" w:hAnsi="Arial" w:cs="Arial"/>
          <w:color w:val="000000"/>
        </w:rPr>
        <w:t>(5 points)</w:t>
      </w:r>
    </w:p>
    <w:p w14:paraId="74E52748" w14:textId="77777777" w:rsidR="009D01A8" w:rsidRDefault="009D01A8" w:rsidP="009D01A8">
      <w:pPr>
        <w:numPr>
          <w:ilvl w:val="1"/>
          <w:numId w:val="7"/>
        </w:numPr>
        <w:pBdr>
          <w:top w:val="nil"/>
          <w:left w:val="nil"/>
          <w:bottom w:val="nil"/>
          <w:right w:val="nil"/>
          <w:between w:val="nil"/>
        </w:pBdr>
        <w:spacing w:after="0" w:line="276" w:lineRule="auto"/>
        <w:ind w:left="1418"/>
        <w:rPr>
          <w:rFonts w:ascii="Arial" w:eastAsia="Arial" w:hAnsi="Arial" w:cs="Arial"/>
        </w:rPr>
      </w:pPr>
      <w:r>
        <w:rPr>
          <w:rFonts w:ascii="Arial" w:eastAsia="Arial" w:hAnsi="Arial" w:cs="Arial"/>
          <w:color w:val="000000"/>
        </w:rPr>
        <w:t>Allocation of substantial amount as indicated in the ADAC Plan (15 points)</w:t>
      </w:r>
    </w:p>
    <w:p w14:paraId="1620F31D" w14:textId="77777777" w:rsidR="009D01A8" w:rsidRDefault="009D01A8" w:rsidP="009D01A8">
      <w:pPr>
        <w:numPr>
          <w:ilvl w:val="2"/>
          <w:numId w:val="7"/>
        </w:numPr>
        <w:pBdr>
          <w:top w:val="nil"/>
          <w:left w:val="nil"/>
          <w:bottom w:val="nil"/>
          <w:right w:val="nil"/>
          <w:between w:val="nil"/>
        </w:pBdr>
        <w:spacing w:after="0" w:line="276" w:lineRule="auto"/>
        <w:rPr>
          <w:rFonts w:ascii="Arial" w:eastAsia="Arial" w:hAnsi="Arial" w:cs="Arial"/>
        </w:rPr>
      </w:pPr>
      <w:r>
        <w:rPr>
          <w:rFonts w:ascii="Arial" w:eastAsia="Arial" w:hAnsi="Arial" w:cs="Arial"/>
          <w:color w:val="000000"/>
        </w:rPr>
        <w:t xml:space="preserve">Allocation of substantial </w:t>
      </w:r>
      <w:r>
        <w:rPr>
          <w:rFonts w:ascii="Arial" w:eastAsia="Arial" w:hAnsi="Arial" w:cs="Arial"/>
        </w:rPr>
        <w:t>amounts</w:t>
      </w:r>
      <w:r>
        <w:rPr>
          <w:rFonts w:ascii="Arial" w:eastAsia="Arial" w:hAnsi="Arial" w:cs="Arial"/>
          <w:color w:val="000000"/>
        </w:rPr>
        <w:t xml:space="preserve"> for the implementation of anti-illegal drug activities as indicated in their respective Approved POPS Plan, Annual </w:t>
      </w:r>
      <w:proofErr w:type="gramStart"/>
      <w:r>
        <w:rPr>
          <w:rFonts w:ascii="Arial" w:eastAsia="Arial" w:hAnsi="Arial" w:cs="Arial"/>
          <w:color w:val="000000"/>
        </w:rPr>
        <w:t>Budget</w:t>
      </w:r>
      <w:proofErr w:type="gramEnd"/>
      <w:r>
        <w:rPr>
          <w:rFonts w:ascii="Arial" w:eastAsia="Arial" w:hAnsi="Arial" w:cs="Arial"/>
          <w:color w:val="000000"/>
        </w:rPr>
        <w:t xml:space="preserve"> or Annual Investment Plan (AIP). For AIP, the front page, table of </w:t>
      </w:r>
      <w:r>
        <w:rPr>
          <w:rFonts w:ascii="Arial" w:eastAsia="Arial" w:hAnsi="Arial" w:cs="Arial"/>
          <w:color w:val="000000"/>
        </w:rPr>
        <w:lastRenderedPageBreak/>
        <w:t>contents, actual part for anti-illegal drugs, and the last page with signature should all be uploaded.</w:t>
      </w:r>
    </w:p>
    <w:p w14:paraId="091B600D" w14:textId="77777777" w:rsidR="009D01A8" w:rsidRDefault="009D01A8" w:rsidP="009D01A8">
      <w:pPr>
        <w:numPr>
          <w:ilvl w:val="1"/>
          <w:numId w:val="7"/>
        </w:numPr>
        <w:pBdr>
          <w:top w:val="nil"/>
          <w:left w:val="nil"/>
          <w:bottom w:val="nil"/>
          <w:right w:val="nil"/>
          <w:between w:val="nil"/>
        </w:pBdr>
        <w:spacing w:after="0" w:line="276" w:lineRule="auto"/>
        <w:ind w:left="1418"/>
        <w:rPr>
          <w:rFonts w:ascii="Arial" w:eastAsia="Arial" w:hAnsi="Arial" w:cs="Arial"/>
        </w:rPr>
      </w:pPr>
      <w:r>
        <w:rPr>
          <w:rFonts w:ascii="Arial" w:eastAsia="Arial" w:hAnsi="Arial" w:cs="Arial"/>
          <w:color w:val="000000"/>
        </w:rPr>
        <w:t>Implementation of ADAC Plans and Programs (40 points)</w:t>
      </w:r>
    </w:p>
    <w:p w14:paraId="7A409541" w14:textId="77777777" w:rsidR="009D01A8" w:rsidRDefault="009D01A8" w:rsidP="009D01A8">
      <w:pPr>
        <w:numPr>
          <w:ilvl w:val="2"/>
          <w:numId w:val="7"/>
        </w:numPr>
        <w:pBdr>
          <w:top w:val="nil"/>
          <w:left w:val="nil"/>
          <w:bottom w:val="nil"/>
          <w:right w:val="nil"/>
          <w:between w:val="nil"/>
        </w:pBdr>
        <w:spacing w:after="0" w:line="276" w:lineRule="auto"/>
        <w:rPr>
          <w:rFonts w:ascii="Arial" w:eastAsia="Arial" w:hAnsi="Arial" w:cs="Arial"/>
        </w:rPr>
      </w:pPr>
      <w:r>
        <w:rPr>
          <w:rFonts w:ascii="Arial" w:eastAsia="Arial" w:hAnsi="Arial" w:cs="Arial"/>
          <w:color w:val="000000"/>
        </w:rPr>
        <w:t>Financial Accomplishment (10 points)</w:t>
      </w:r>
    </w:p>
    <w:p w14:paraId="1AAAEA35" w14:textId="77777777" w:rsidR="009D01A8" w:rsidRDefault="009D01A8" w:rsidP="009D01A8">
      <w:pPr>
        <w:numPr>
          <w:ilvl w:val="2"/>
          <w:numId w:val="7"/>
        </w:numPr>
        <w:pBdr>
          <w:top w:val="nil"/>
          <w:left w:val="nil"/>
          <w:bottom w:val="nil"/>
          <w:right w:val="nil"/>
          <w:between w:val="nil"/>
        </w:pBdr>
        <w:spacing w:after="0" w:line="276" w:lineRule="auto"/>
        <w:rPr>
          <w:rFonts w:ascii="Arial" w:eastAsia="Arial" w:hAnsi="Arial" w:cs="Arial"/>
        </w:rPr>
      </w:pPr>
      <w:r>
        <w:rPr>
          <w:rFonts w:ascii="Arial" w:eastAsia="Arial" w:hAnsi="Arial" w:cs="Arial"/>
          <w:color w:val="000000"/>
        </w:rPr>
        <w:t>Physical Accomplishment (10 points)</w:t>
      </w:r>
    </w:p>
    <w:p w14:paraId="29E7B604" w14:textId="77777777" w:rsidR="009D01A8" w:rsidRDefault="009D01A8" w:rsidP="009D01A8">
      <w:pPr>
        <w:numPr>
          <w:ilvl w:val="2"/>
          <w:numId w:val="7"/>
        </w:numPr>
        <w:pBdr>
          <w:top w:val="nil"/>
          <w:left w:val="nil"/>
          <w:bottom w:val="nil"/>
          <w:right w:val="nil"/>
          <w:between w:val="nil"/>
        </w:pBdr>
        <w:spacing w:after="0" w:line="276" w:lineRule="auto"/>
        <w:rPr>
          <w:rFonts w:ascii="Arial" w:eastAsia="Arial" w:hAnsi="Arial" w:cs="Arial"/>
        </w:rPr>
      </w:pPr>
      <w:r>
        <w:rPr>
          <w:rFonts w:ascii="Arial" w:eastAsia="Arial" w:hAnsi="Arial" w:cs="Arial"/>
          <w:color w:val="000000"/>
        </w:rPr>
        <w:t>Percentage of Drug-Cleared Barangays of Component LGUs (15 point</w:t>
      </w:r>
      <w:r>
        <w:rPr>
          <w:rFonts w:ascii="Arial" w:eastAsia="Arial" w:hAnsi="Arial" w:cs="Arial"/>
        </w:rPr>
        <w:t>s)</w:t>
      </w:r>
    </w:p>
    <w:p w14:paraId="393E8B39" w14:textId="77777777" w:rsidR="009D01A8" w:rsidRDefault="009D01A8" w:rsidP="009D01A8">
      <w:pPr>
        <w:numPr>
          <w:ilvl w:val="2"/>
          <w:numId w:val="7"/>
        </w:numPr>
        <w:pBdr>
          <w:top w:val="nil"/>
          <w:left w:val="nil"/>
          <w:bottom w:val="nil"/>
          <w:right w:val="nil"/>
          <w:between w:val="nil"/>
        </w:pBdr>
        <w:spacing w:after="0" w:line="276" w:lineRule="auto"/>
        <w:rPr>
          <w:rFonts w:ascii="Arial" w:eastAsia="Arial" w:hAnsi="Arial" w:cs="Arial"/>
        </w:rPr>
      </w:pPr>
      <w:r>
        <w:rPr>
          <w:rFonts w:ascii="Arial" w:eastAsia="Arial" w:hAnsi="Arial" w:cs="Arial"/>
          <w:color w:val="000000"/>
        </w:rPr>
        <w:t>Timeliness of Implementation (</w:t>
      </w:r>
      <w:r>
        <w:rPr>
          <w:rFonts w:ascii="Arial" w:eastAsia="Arial" w:hAnsi="Arial" w:cs="Arial"/>
        </w:rPr>
        <w:t>5</w:t>
      </w:r>
      <w:r>
        <w:rPr>
          <w:rFonts w:ascii="Arial" w:eastAsia="Arial" w:hAnsi="Arial" w:cs="Arial"/>
          <w:color w:val="000000"/>
        </w:rPr>
        <w:t xml:space="preserve"> points)</w:t>
      </w:r>
    </w:p>
    <w:p w14:paraId="2F6FE665" w14:textId="77777777" w:rsidR="009D01A8" w:rsidRDefault="009D01A8" w:rsidP="009D01A8">
      <w:pPr>
        <w:numPr>
          <w:ilvl w:val="1"/>
          <w:numId w:val="7"/>
        </w:numPr>
        <w:pBdr>
          <w:top w:val="nil"/>
          <w:left w:val="nil"/>
          <w:bottom w:val="nil"/>
          <w:right w:val="nil"/>
          <w:between w:val="nil"/>
        </w:pBdr>
        <w:spacing w:after="0" w:line="276" w:lineRule="auto"/>
        <w:ind w:left="1418"/>
        <w:rPr>
          <w:rFonts w:ascii="Arial" w:eastAsia="Arial" w:hAnsi="Arial" w:cs="Arial"/>
        </w:rPr>
      </w:pPr>
      <w:r>
        <w:rPr>
          <w:rFonts w:ascii="Arial" w:eastAsia="Arial" w:hAnsi="Arial" w:cs="Arial"/>
          <w:color w:val="000000"/>
        </w:rPr>
        <w:t>Support to ADACs in Component LGUs (20 points)</w:t>
      </w:r>
    </w:p>
    <w:p w14:paraId="72E67E9D" w14:textId="77777777" w:rsidR="009D01A8" w:rsidRDefault="009D01A8" w:rsidP="009D01A8">
      <w:pPr>
        <w:numPr>
          <w:ilvl w:val="2"/>
          <w:numId w:val="7"/>
        </w:numPr>
        <w:pBdr>
          <w:top w:val="nil"/>
          <w:left w:val="nil"/>
          <w:bottom w:val="nil"/>
          <w:right w:val="nil"/>
          <w:between w:val="nil"/>
        </w:pBdr>
        <w:spacing w:after="0" w:line="276" w:lineRule="auto"/>
        <w:rPr>
          <w:rFonts w:ascii="Arial" w:eastAsia="Arial" w:hAnsi="Arial" w:cs="Arial"/>
        </w:rPr>
      </w:pPr>
      <w:r>
        <w:rPr>
          <w:rFonts w:ascii="Arial" w:eastAsia="Arial" w:hAnsi="Arial" w:cs="Arial"/>
          <w:color w:val="000000"/>
        </w:rPr>
        <w:t>Formulation of Community Support, Aftercare and Rehabilitation (CSAR) Plan (</w:t>
      </w:r>
      <w:r>
        <w:rPr>
          <w:rFonts w:ascii="Arial" w:eastAsia="Arial" w:hAnsi="Arial" w:cs="Arial"/>
        </w:rPr>
        <w:t>10 points)</w:t>
      </w:r>
    </w:p>
    <w:p w14:paraId="0F9449A5" w14:textId="77777777" w:rsidR="009D01A8" w:rsidRDefault="009D01A8" w:rsidP="009D01A8">
      <w:pPr>
        <w:numPr>
          <w:ilvl w:val="2"/>
          <w:numId w:val="7"/>
        </w:numPr>
        <w:pBdr>
          <w:top w:val="nil"/>
          <w:left w:val="nil"/>
          <w:bottom w:val="nil"/>
          <w:right w:val="nil"/>
          <w:between w:val="nil"/>
        </w:pBdr>
        <w:spacing w:after="0" w:line="276" w:lineRule="auto"/>
        <w:rPr>
          <w:rFonts w:ascii="Arial" w:eastAsia="Arial" w:hAnsi="Arial" w:cs="Arial"/>
        </w:rPr>
      </w:pPr>
      <w:r>
        <w:rPr>
          <w:rFonts w:ascii="Arial" w:eastAsia="Arial" w:hAnsi="Arial" w:cs="Arial"/>
        </w:rPr>
        <w:t>F</w:t>
      </w:r>
      <w:r>
        <w:rPr>
          <w:rFonts w:ascii="Arial" w:eastAsia="Arial" w:hAnsi="Arial" w:cs="Arial"/>
          <w:color w:val="000000"/>
        </w:rPr>
        <w:t>inancial Support to component ADACs (5 points</w:t>
      </w:r>
      <w:r>
        <w:rPr>
          <w:rFonts w:ascii="Arial" w:eastAsia="Arial" w:hAnsi="Arial" w:cs="Arial"/>
        </w:rPr>
        <w:t>)</w:t>
      </w:r>
    </w:p>
    <w:p w14:paraId="46D9F51D" w14:textId="77777777" w:rsidR="009D01A8" w:rsidRDefault="009D01A8" w:rsidP="009D01A8">
      <w:pPr>
        <w:numPr>
          <w:ilvl w:val="2"/>
          <w:numId w:val="7"/>
        </w:numPr>
        <w:pBdr>
          <w:top w:val="nil"/>
          <w:left w:val="nil"/>
          <w:bottom w:val="nil"/>
          <w:right w:val="nil"/>
          <w:between w:val="nil"/>
        </w:pBdr>
        <w:spacing w:after="0" w:line="276" w:lineRule="auto"/>
        <w:rPr>
          <w:rFonts w:ascii="Arial" w:eastAsia="Arial" w:hAnsi="Arial" w:cs="Arial"/>
        </w:rPr>
      </w:pPr>
      <w:r>
        <w:rPr>
          <w:rFonts w:ascii="Arial" w:eastAsia="Arial" w:hAnsi="Arial" w:cs="Arial"/>
        </w:rPr>
        <w:t>T</w:t>
      </w:r>
      <w:r>
        <w:rPr>
          <w:rFonts w:ascii="Arial" w:eastAsia="Arial" w:hAnsi="Arial" w:cs="Arial"/>
          <w:color w:val="000000"/>
        </w:rPr>
        <w:t>echnical support to component ADACs (</w:t>
      </w:r>
      <w:r>
        <w:rPr>
          <w:rFonts w:ascii="Arial" w:eastAsia="Arial" w:hAnsi="Arial" w:cs="Arial"/>
        </w:rPr>
        <w:t>5</w:t>
      </w:r>
      <w:r>
        <w:rPr>
          <w:rFonts w:ascii="Arial" w:eastAsia="Arial" w:hAnsi="Arial" w:cs="Arial"/>
          <w:color w:val="000000"/>
        </w:rPr>
        <w:t xml:space="preserve"> points)</w:t>
      </w:r>
    </w:p>
    <w:p w14:paraId="329D3FE3" w14:textId="77777777" w:rsidR="009D01A8" w:rsidRDefault="009D01A8" w:rsidP="009D01A8">
      <w:pPr>
        <w:numPr>
          <w:ilvl w:val="1"/>
          <w:numId w:val="7"/>
        </w:numPr>
        <w:pBdr>
          <w:top w:val="nil"/>
          <w:left w:val="nil"/>
          <w:bottom w:val="nil"/>
          <w:right w:val="nil"/>
          <w:between w:val="nil"/>
        </w:pBdr>
        <w:spacing w:after="0" w:line="276" w:lineRule="auto"/>
        <w:ind w:left="1418"/>
        <w:rPr>
          <w:rFonts w:ascii="Arial" w:eastAsia="Arial" w:hAnsi="Arial" w:cs="Arial"/>
        </w:rPr>
      </w:pPr>
      <w:r>
        <w:rPr>
          <w:rFonts w:ascii="Arial" w:eastAsia="Arial" w:hAnsi="Arial" w:cs="Arial"/>
          <w:color w:val="000000"/>
        </w:rPr>
        <w:t>Conduct of Quarterly Meetings (10 points)</w:t>
      </w:r>
    </w:p>
    <w:p w14:paraId="55A8C5F3" w14:textId="41B6A614" w:rsidR="009D01A8" w:rsidRDefault="009D01A8" w:rsidP="009D01A8">
      <w:pPr>
        <w:numPr>
          <w:ilvl w:val="2"/>
          <w:numId w:val="7"/>
        </w:numPr>
        <w:pBdr>
          <w:top w:val="nil"/>
          <w:left w:val="nil"/>
          <w:bottom w:val="nil"/>
          <w:right w:val="nil"/>
          <w:between w:val="nil"/>
        </w:pBdr>
        <w:spacing w:after="0" w:line="276" w:lineRule="auto"/>
        <w:rPr>
          <w:rFonts w:ascii="Arial" w:eastAsia="Arial" w:hAnsi="Arial" w:cs="Arial"/>
        </w:rPr>
      </w:pPr>
      <w:r>
        <w:rPr>
          <w:rFonts w:ascii="Arial" w:eastAsia="Arial" w:hAnsi="Arial" w:cs="Arial"/>
          <w:color w:val="000000"/>
        </w:rPr>
        <w:t xml:space="preserve">Local ADAC meetings regularly </w:t>
      </w:r>
      <w:r>
        <w:rPr>
          <w:rFonts w:ascii="Arial" w:eastAsia="Arial" w:hAnsi="Arial" w:cs="Arial"/>
          <w:color w:val="000000"/>
        </w:rPr>
        <w:t>conducted.</w:t>
      </w:r>
    </w:p>
    <w:p w14:paraId="46BED6FD" w14:textId="77777777" w:rsidR="009D01A8" w:rsidRDefault="009D01A8" w:rsidP="009D01A8">
      <w:pPr>
        <w:numPr>
          <w:ilvl w:val="1"/>
          <w:numId w:val="7"/>
        </w:numPr>
        <w:pBdr>
          <w:top w:val="nil"/>
          <w:left w:val="nil"/>
          <w:bottom w:val="nil"/>
          <w:right w:val="nil"/>
          <w:between w:val="nil"/>
        </w:pBdr>
        <w:spacing w:after="0" w:line="276" w:lineRule="auto"/>
        <w:ind w:left="1418"/>
        <w:rPr>
          <w:rFonts w:ascii="Arial" w:eastAsia="Arial" w:hAnsi="Arial" w:cs="Arial"/>
        </w:rPr>
      </w:pPr>
      <w:r>
        <w:rPr>
          <w:rFonts w:ascii="Arial" w:eastAsia="Arial" w:hAnsi="Arial" w:cs="Arial"/>
          <w:color w:val="000000"/>
        </w:rPr>
        <w:t>Innovation/s (5 points)</w:t>
      </w:r>
    </w:p>
    <w:p w14:paraId="224A8E57" w14:textId="77777777" w:rsidR="009D01A8" w:rsidRDefault="009D01A8" w:rsidP="009D01A8">
      <w:pPr>
        <w:pBdr>
          <w:top w:val="nil"/>
          <w:left w:val="nil"/>
          <w:bottom w:val="nil"/>
          <w:right w:val="nil"/>
          <w:between w:val="nil"/>
        </w:pBdr>
        <w:spacing w:after="0"/>
        <w:ind w:left="1440" w:hanging="21"/>
        <w:rPr>
          <w:rFonts w:ascii="Arial" w:eastAsia="Arial" w:hAnsi="Arial" w:cs="Arial"/>
          <w:color w:val="000000"/>
        </w:rPr>
      </w:pPr>
      <w:r>
        <w:rPr>
          <w:rFonts w:ascii="Arial" w:eastAsia="Arial" w:hAnsi="Arial" w:cs="Arial"/>
          <w:color w:val="000000"/>
        </w:rPr>
        <w:t>Any of the following:</w:t>
      </w:r>
    </w:p>
    <w:p w14:paraId="21435EB3" w14:textId="77777777" w:rsidR="009D01A8" w:rsidRDefault="009D01A8" w:rsidP="009D01A8">
      <w:pPr>
        <w:numPr>
          <w:ilvl w:val="2"/>
          <w:numId w:val="7"/>
        </w:numPr>
        <w:pBdr>
          <w:top w:val="nil"/>
          <w:left w:val="nil"/>
          <w:bottom w:val="nil"/>
          <w:right w:val="nil"/>
          <w:between w:val="nil"/>
        </w:pBdr>
        <w:spacing w:after="0" w:line="276" w:lineRule="auto"/>
        <w:rPr>
          <w:rFonts w:ascii="Arial" w:eastAsia="Arial" w:hAnsi="Arial" w:cs="Arial"/>
        </w:rPr>
      </w:pPr>
      <w:r>
        <w:rPr>
          <w:rFonts w:ascii="Arial" w:eastAsia="Arial" w:hAnsi="Arial" w:cs="Arial"/>
          <w:color w:val="000000"/>
        </w:rPr>
        <w:t xml:space="preserve">Any LGU-initiated activity, facility, or program that is outside of the prescribed functions and responsibilities of said </w:t>
      </w:r>
      <w:proofErr w:type="gramStart"/>
      <w:r>
        <w:rPr>
          <w:rFonts w:ascii="Arial" w:eastAsia="Arial" w:hAnsi="Arial" w:cs="Arial"/>
          <w:color w:val="000000"/>
        </w:rPr>
        <w:t>LGU;</w:t>
      </w:r>
      <w:proofErr w:type="gramEnd"/>
    </w:p>
    <w:p w14:paraId="3094AA42" w14:textId="77777777" w:rsidR="009D01A8" w:rsidRDefault="009D01A8" w:rsidP="009D01A8">
      <w:pPr>
        <w:numPr>
          <w:ilvl w:val="2"/>
          <w:numId w:val="7"/>
        </w:numPr>
        <w:pBdr>
          <w:top w:val="nil"/>
          <w:left w:val="nil"/>
          <w:bottom w:val="nil"/>
          <w:right w:val="nil"/>
          <w:between w:val="nil"/>
        </w:pBdr>
        <w:spacing w:after="0" w:line="276" w:lineRule="auto"/>
        <w:rPr>
          <w:rFonts w:ascii="Arial" w:eastAsia="Arial" w:hAnsi="Arial" w:cs="Arial"/>
        </w:rPr>
      </w:pPr>
      <w:r>
        <w:rPr>
          <w:rFonts w:ascii="Arial" w:eastAsia="Arial" w:hAnsi="Arial" w:cs="Arial"/>
          <w:color w:val="000000"/>
        </w:rPr>
        <w:t>any local ADAC Member Agency-initiated activity, facility, or program that is outside of the prescribed functions and responsibilities of said member agency duly endorsed by the local ADAC through a resolution; or,</w:t>
      </w:r>
    </w:p>
    <w:p w14:paraId="5254666A" w14:textId="77777777" w:rsidR="009D01A8" w:rsidRDefault="009D01A8" w:rsidP="009D01A8">
      <w:pPr>
        <w:numPr>
          <w:ilvl w:val="2"/>
          <w:numId w:val="7"/>
        </w:numPr>
        <w:pBdr>
          <w:top w:val="nil"/>
          <w:left w:val="nil"/>
          <w:bottom w:val="nil"/>
          <w:right w:val="nil"/>
          <w:between w:val="nil"/>
        </w:pBdr>
        <w:spacing w:after="0" w:line="276" w:lineRule="auto"/>
        <w:rPr>
          <w:rFonts w:ascii="Arial" w:eastAsia="Arial" w:hAnsi="Arial" w:cs="Arial"/>
        </w:rPr>
      </w:pPr>
      <w:r>
        <w:rPr>
          <w:rFonts w:ascii="Arial" w:eastAsia="Arial" w:hAnsi="Arial" w:cs="Arial"/>
          <w:color w:val="000000"/>
        </w:rPr>
        <w:t>any civil society organization (CSO)-initiated activity, facility, or program conducted in cooperation with the LGU through a Memorandum of Agreement/Understanding (MOA/U) and duly endorsed by the local ADAC through a resolution.</w:t>
      </w:r>
    </w:p>
    <w:p w14:paraId="0AE9D271" w14:textId="77777777" w:rsidR="009D01A8" w:rsidRDefault="009D01A8" w:rsidP="009D01A8">
      <w:pPr>
        <w:ind w:left="720"/>
        <w:rPr>
          <w:rFonts w:ascii="Arial" w:eastAsia="Arial" w:hAnsi="Arial" w:cs="Arial"/>
        </w:rPr>
      </w:pPr>
      <w:r>
        <w:rPr>
          <w:rFonts w:ascii="Arial" w:eastAsia="Arial" w:hAnsi="Arial" w:cs="Arial"/>
        </w:rPr>
        <w:t>The following main and sub performance indicators for the PADAC will be measured based on the provisions set forth in DILG-DDB JMC No. 2018-01:</w:t>
      </w:r>
    </w:p>
    <w:p w14:paraId="473AFC09" w14:textId="77777777" w:rsidR="009D01A8" w:rsidRDefault="009D01A8" w:rsidP="009D01A8">
      <w:pPr>
        <w:numPr>
          <w:ilvl w:val="0"/>
          <w:numId w:val="5"/>
        </w:numPr>
        <w:spacing w:after="0" w:line="276" w:lineRule="auto"/>
        <w:rPr>
          <w:rFonts w:ascii="Arial" w:eastAsia="Arial" w:hAnsi="Arial" w:cs="Arial"/>
        </w:rPr>
      </w:pPr>
      <w:r>
        <w:rPr>
          <w:rFonts w:ascii="Arial" w:eastAsia="Arial" w:hAnsi="Arial" w:cs="Arial"/>
        </w:rPr>
        <w:t>Creation / Reorganization of ADAC (10 points)</w:t>
      </w:r>
    </w:p>
    <w:p w14:paraId="3CE3CDF2" w14:textId="77777777" w:rsidR="009D01A8" w:rsidRDefault="009D01A8" w:rsidP="009D01A8">
      <w:pPr>
        <w:spacing w:after="0" w:line="276" w:lineRule="auto"/>
        <w:ind w:left="720" w:firstLine="720"/>
        <w:rPr>
          <w:rFonts w:ascii="Arial" w:eastAsia="Arial" w:hAnsi="Arial" w:cs="Arial"/>
        </w:rPr>
      </w:pPr>
      <w:proofErr w:type="spellStart"/>
      <w:r>
        <w:rPr>
          <w:rFonts w:ascii="Arial" w:eastAsia="Arial" w:hAnsi="Arial" w:cs="Arial"/>
        </w:rPr>
        <w:t>i</w:t>
      </w:r>
      <w:proofErr w:type="spellEnd"/>
      <w:r>
        <w:rPr>
          <w:rFonts w:ascii="Arial" w:eastAsia="Arial" w:hAnsi="Arial" w:cs="Arial"/>
        </w:rPr>
        <w:t>. Creation / Reorganization of PADAC (5 points)</w:t>
      </w:r>
    </w:p>
    <w:p w14:paraId="0A608D3E" w14:textId="77777777" w:rsidR="009D01A8" w:rsidRDefault="009D01A8" w:rsidP="009D01A8">
      <w:pPr>
        <w:spacing w:after="0" w:line="276" w:lineRule="auto"/>
        <w:ind w:left="720" w:firstLine="720"/>
        <w:rPr>
          <w:rFonts w:ascii="Arial" w:eastAsia="Arial" w:hAnsi="Arial" w:cs="Arial"/>
        </w:rPr>
      </w:pPr>
      <w:r>
        <w:rPr>
          <w:rFonts w:ascii="Arial" w:eastAsia="Arial" w:hAnsi="Arial" w:cs="Arial"/>
        </w:rPr>
        <w:t>ii. Composition of members compliant to DILG-DDB JMC No. 2018-01 (5 points)</w:t>
      </w:r>
    </w:p>
    <w:p w14:paraId="35172C36" w14:textId="77777777" w:rsidR="009D01A8" w:rsidRDefault="009D01A8" w:rsidP="009D01A8">
      <w:pPr>
        <w:numPr>
          <w:ilvl w:val="0"/>
          <w:numId w:val="5"/>
        </w:numPr>
        <w:spacing w:after="0" w:line="276" w:lineRule="auto"/>
        <w:rPr>
          <w:rFonts w:ascii="Arial" w:eastAsia="Arial" w:hAnsi="Arial" w:cs="Arial"/>
        </w:rPr>
      </w:pPr>
      <w:r>
        <w:rPr>
          <w:rFonts w:ascii="Arial" w:eastAsia="Arial" w:hAnsi="Arial" w:cs="Arial"/>
        </w:rPr>
        <w:t>Allocation of substantial amount as indicated in the ADAC Plan (15 points)</w:t>
      </w:r>
    </w:p>
    <w:p w14:paraId="5507DF4B" w14:textId="77777777" w:rsidR="009D01A8" w:rsidRDefault="009D01A8" w:rsidP="009D01A8">
      <w:pPr>
        <w:spacing w:after="0" w:line="276" w:lineRule="auto"/>
        <w:ind w:left="1440"/>
        <w:rPr>
          <w:rFonts w:ascii="Arial" w:eastAsia="Arial" w:hAnsi="Arial" w:cs="Arial"/>
        </w:rPr>
      </w:pPr>
      <w:proofErr w:type="spellStart"/>
      <w:r>
        <w:rPr>
          <w:rFonts w:ascii="Arial" w:eastAsia="Arial" w:hAnsi="Arial" w:cs="Arial"/>
        </w:rPr>
        <w:t>i</w:t>
      </w:r>
      <w:proofErr w:type="spellEnd"/>
      <w:r>
        <w:rPr>
          <w:rFonts w:ascii="Arial" w:eastAsia="Arial" w:hAnsi="Arial" w:cs="Arial"/>
        </w:rPr>
        <w:t xml:space="preserve">. Allocation of substantial amounts for the implementation of anti-illegal drug activities as indicated in their respective Approved POPS Plan, Annual </w:t>
      </w:r>
      <w:proofErr w:type="gramStart"/>
      <w:r>
        <w:rPr>
          <w:rFonts w:ascii="Arial" w:eastAsia="Arial" w:hAnsi="Arial" w:cs="Arial"/>
        </w:rPr>
        <w:t>Budget</w:t>
      </w:r>
      <w:proofErr w:type="gramEnd"/>
      <w:r>
        <w:rPr>
          <w:rFonts w:ascii="Arial" w:eastAsia="Arial" w:hAnsi="Arial" w:cs="Arial"/>
        </w:rPr>
        <w:t xml:space="preserve"> or Annual Investment Plan (AIP). For AIP, the front page, table of contents, actual part for anti-illegal drugs, and the last page with signature should all be uploaded.</w:t>
      </w:r>
    </w:p>
    <w:p w14:paraId="2A0E2B9F" w14:textId="77777777" w:rsidR="009D01A8" w:rsidRDefault="009D01A8" w:rsidP="009D01A8">
      <w:pPr>
        <w:numPr>
          <w:ilvl w:val="0"/>
          <w:numId w:val="5"/>
        </w:numPr>
        <w:spacing w:after="0" w:line="276" w:lineRule="auto"/>
        <w:rPr>
          <w:rFonts w:ascii="Arial" w:eastAsia="Arial" w:hAnsi="Arial" w:cs="Arial"/>
        </w:rPr>
      </w:pPr>
      <w:r>
        <w:rPr>
          <w:rFonts w:ascii="Arial" w:eastAsia="Arial" w:hAnsi="Arial" w:cs="Arial"/>
        </w:rPr>
        <w:t>Implementation of ADAC Plans and Programs (50 points)</w:t>
      </w:r>
    </w:p>
    <w:p w14:paraId="7CAC3166" w14:textId="77777777" w:rsidR="009D01A8" w:rsidRDefault="009D01A8" w:rsidP="009D01A8">
      <w:pPr>
        <w:spacing w:after="0" w:line="276" w:lineRule="auto"/>
        <w:ind w:left="1440"/>
        <w:rPr>
          <w:rFonts w:ascii="Arial" w:eastAsia="Arial" w:hAnsi="Arial" w:cs="Arial"/>
        </w:rPr>
      </w:pPr>
      <w:proofErr w:type="spellStart"/>
      <w:r>
        <w:rPr>
          <w:rFonts w:ascii="Arial" w:eastAsia="Arial" w:hAnsi="Arial" w:cs="Arial"/>
        </w:rPr>
        <w:t>i</w:t>
      </w:r>
      <w:proofErr w:type="spellEnd"/>
      <w:r>
        <w:rPr>
          <w:rFonts w:ascii="Arial" w:eastAsia="Arial" w:hAnsi="Arial" w:cs="Arial"/>
        </w:rPr>
        <w:t>. Financial Accomplishment (15 points)</w:t>
      </w:r>
    </w:p>
    <w:p w14:paraId="74F0108F" w14:textId="77777777" w:rsidR="009D01A8" w:rsidRDefault="009D01A8" w:rsidP="009D01A8">
      <w:pPr>
        <w:spacing w:after="0" w:line="276" w:lineRule="auto"/>
        <w:ind w:left="1440"/>
        <w:rPr>
          <w:rFonts w:ascii="Arial" w:eastAsia="Arial" w:hAnsi="Arial" w:cs="Arial"/>
        </w:rPr>
      </w:pPr>
      <w:r>
        <w:rPr>
          <w:rFonts w:ascii="Arial" w:eastAsia="Arial" w:hAnsi="Arial" w:cs="Arial"/>
        </w:rPr>
        <w:t>ii. Physical Accomplishment (15 points)</w:t>
      </w:r>
    </w:p>
    <w:p w14:paraId="38B83D8E" w14:textId="77777777" w:rsidR="009D01A8" w:rsidRDefault="009D01A8" w:rsidP="009D01A8">
      <w:pPr>
        <w:spacing w:after="0" w:line="276" w:lineRule="auto"/>
        <w:ind w:left="1440"/>
        <w:rPr>
          <w:rFonts w:ascii="Arial" w:eastAsia="Arial" w:hAnsi="Arial" w:cs="Arial"/>
        </w:rPr>
      </w:pPr>
      <w:r>
        <w:rPr>
          <w:rFonts w:ascii="Arial" w:eastAsia="Arial" w:hAnsi="Arial" w:cs="Arial"/>
        </w:rPr>
        <w:t>iii. Percentage of Drug-Cleared Barangays of Component LGUs (15 points)</w:t>
      </w:r>
    </w:p>
    <w:p w14:paraId="0F1E30F4" w14:textId="77777777" w:rsidR="009D01A8" w:rsidRDefault="009D01A8" w:rsidP="009D01A8">
      <w:pPr>
        <w:spacing w:after="0" w:line="276" w:lineRule="auto"/>
        <w:ind w:left="1440"/>
        <w:rPr>
          <w:rFonts w:ascii="Arial" w:eastAsia="Arial" w:hAnsi="Arial" w:cs="Arial"/>
        </w:rPr>
      </w:pPr>
      <w:r>
        <w:rPr>
          <w:rFonts w:ascii="Arial" w:eastAsia="Arial" w:hAnsi="Arial" w:cs="Arial"/>
        </w:rPr>
        <w:t>iv. Timeliness of Implementation (3 points)</w:t>
      </w:r>
    </w:p>
    <w:p w14:paraId="1448B53E" w14:textId="77777777" w:rsidR="009D01A8" w:rsidRDefault="009D01A8" w:rsidP="009D01A8">
      <w:pPr>
        <w:spacing w:after="0" w:line="276" w:lineRule="auto"/>
        <w:ind w:left="1440"/>
        <w:rPr>
          <w:rFonts w:ascii="Arial" w:eastAsia="Arial" w:hAnsi="Arial" w:cs="Arial"/>
        </w:rPr>
      </w:pPr>
      <w:r>
        <w:rPr>
          <w:rFonts w:ascii="Arial" w:eastAsia="Arial" w:hAnsi="Arial" w:cs="Arial"/>
        </w:rPr>
        <w:t>v. Establishment of Special Drug Education Centers (2 points)</w:t>
      </w:r>
    </w:p>
    <w:p w14:paraId="445DD2A1" w14:textId="77777777" w:rsidR="009D01A8" w:rsidRDefault="009D01A8" w:rsidP="009D01A8">
      <w:pPr>
        <w:numPr>
          <w:ilvl w:val="0"/>
          <w:numId w:val="5"/>
        </w:numPr>
        <w:spacing w:after="0" w:line="276" w:lineRule="auto"/>
        <w:rPr>
          <w:rFonts w:ascii="Arial" w:eastAsia="Arial" w:hAnsi="Arial" w:cs="Arial"/>
        </w:rPr>
      </w:pPr>
      <w:r>
        <w:rPr>
          <w:rFonts w:ascii="Arial" w:eastAsia="Arial" w:hAnsi="Arial" w:cs="Arial"/>
        </w:rPr>
        <w:t>Support to ADACs in Component LGUs (10 points)</w:t>
      </w:r>
    </w:p>
    <w:p w14:paraId="5E6652C9" w14:textId="77777777" w:rsidR="009D01A8" w:rsidRDefault="009D01A8" w:rsidP="009D01A8">
      <w:pPr>
        <w:spacing w:after="0" w:line="276" w:lineRule="auto"/>
        <w:ind w:left="1440"/>
        <w:rPr>
          <w:rFonts w:ascii="Arial" w:eastAsia="Arial" w:hAnsi="Arial" w:cs="Arial"/>
        </w:rPr>
      </w:pPr>
      <w:proofErr w:type="spellStart"/>
      <w:r>
        <w:rPr>
          <w:rFonts w:ascii="Arial" w:eastAsia="Arial" w:hAnsi="Arial" w:cs="Arial"/>
        </w:rPr>
        <w:t>i</w:t>
      </w:r>
      <w:proofErr w:type="spellEnd"/>
      <w:r>
        <w:rPr>
          <w:rFonts w:ascii="Arial" w:eastAsia="Arial" w:hAnsi="Arial" w:cs="Arial"/>
        </w:rPr>
        <w:t>. Functionality and effectiveness of component ADACs (5 points)</w:t>
      </w:r>
    </w:p>
    <w:p w14:paraId="1682E33B" w14:textId="77777777" w:rsidR="009D01A8" w:rsidRDefault="009D01A8" w:rsidP="009D01A8">
      <w:pPr>
        <w:spacing w:after="0" w:line="276" w:lineRule="auto"/>
        <w:ind w:left="1440"/>
        <w:rPr>
          <w:rFonts w:ascii="Arial" w:eastAsia="Arial" w:hAnsi="Arial" w:cs="Arial"/>
        </w:rPr>
      </w:pPr>
      <w:r>
        <w:rPr>
          <w:rFonts w:ascii="Arial" w:eastAsia="Arial" w:hAnsi="Arial" w:cs="Arial"/>
        </w:rPr>
        <w:t>ii. Financial and/or technical support to component ADACs (5 points)</w:t>
      </w:r>
    </w:p>
    <w:p w14:paraId="36540BBA" w14:textId="77777777" w:rsidR="009D01A8" w:rsidRDefault="009D01A8" w:rsidP="009D01A8">
      <w:pPr>
        <w:numPr>
          <w:ilvl w:val="0"/>
          <w:numId w:val="5"/>
        </w:numPr>
        <w:spacing w:after="0" w:line="276" w:lineRule="auto"/>
        <w:rPr>
          <w:rFonts w:ascii="Arial" w:eastAsia="Arial" w:hAnsi="Arial" w:cs="Arial"/>
        </w:rPr>
      </w:pPr>
      <w:r>
        <w:rPr>
          <w:rFonts w:ascii="Arial" w:eastAsia="Arial" w:hAnsi="Arial" w:cs="Arial"/>
        </w:rPr>
        <w:lastRenderedPageBreak/>
        <w:t>Conduct of Quarterly Meetings (10 points)</w:t>
      </w:r>
    </w:p>
    <w:p w14:paraId="5152A860" w14:textId="77777777" w:rsidR="009D01A8" w:rsidRDefault="009D01A8" w:rsidP="009D01A8">
      <w:pPr>
        <w:spacing w:after="0" w:line="276" w:lineRule="auto"/>
        <w:ind w:left="1440"/>
        <w:rPr>
          <w:rFonts w:ascii="Arial" w:eastAsia="Arial" w:hAnsi="Arial" w:cs="Arial"/>
        </w:rPr>
      </w:pPr>
      <w:proofErr w:type="spellStart"/>
      <w:r>
        <w:rPr>
          <w:rFonts w:ascii="Arial" w:eastAsia="Arial" w:hAnsi="Arial" w:cs="Arial"/>
        </w:rPr>
        <w:t>i</w:t>
      </w:r>
      <w:proofErr w:type="spellEnd"/>
      <w:r>
        <w:rPr>
          <w:rFonts w:ascii="Arial" w:eastAsia="Arial" w:hAnsi="Arial" w:cs="Arial"/>
        </w:rPr>
        <w:t xml:space="preserve">. PADAC conducted quarterly </w:t>
      </w:r>
      <w:proofErr w:type="gramStart"/>
      <w:r>
        <w:rPr>
          <w:rFonts w:ascii="Arial" w:eastAsia="Arial" w:hAnsi="Arial" w:cs="Arial"/>
        </w:rPr>
        <w:t>meetings</w:t>
      </w:r>
      <w:proofErr w:type="gramEnd"/>
    </w:p>
    <w:p w14:paraId="6B12417D" w14:textId="77777777" w:rsidR="009D01A8" w:rsidRDefault="009D01A8" w:rsidP="009D01A8">
      <w:pPr>
        <w:numPr>
          <w:ilvl w:val="0"/>
          <w:numId w:val="5"/>
        </w:numPr>
        <w:spacing w:after="0" w:line="276" w:lineRule="auto"/>
        <w:rPr>
          <w:rFonts w:ascii="Arial" w:eastAsia="Arial" w:hAnsi="Arial" w:cs="Arial"/>
        </w:rPr>
      </w:pPr>
      <w:r>
        <w:rPr>
          <w:rFonts w:ascii="Arial" w:eastAsia="Arial" w:hAnsi="Arial" w:cs="Arial"/>
        </w:rPr>
        <w:t>Innovation/s (5 points)</w:t>
      </w:r>
    </w:p>
    <w:p w14:paraId="366757B7" w14:textId="77777777" w:rsidR="009D01A8" w:rsidRDefault="009D01A8" w:rsidP="009D01A8">
      <w:pPr>
        <w:spacing w:after="0"/>
        <w:ind w:left="1440" w:hanging="21"/>
        <w:rPr>
          <w:rFonts w:ascii="Arial" w:eastAsia="Arial" w:hAnsi="Arial" w:cs="Arial"/>
        </w:rPr>
      </w:pPr>
      <w:r>
        <w:rPr>
          <w:rFonts w:ascii="Arial" w:eastAsia="Arial" w:hAnsi="Arial" w:cs="Arial"/>
        </w:rPr>
        <w:t>Any of the following:</w:t>
      </w:r>
    </w:p>
    <w:p w14:paraId="359CD256" w14:textId="77777777" w:rsidR="009D01A8" w:rsidRDefault="009D01A8" w:rsidP="009D01A8">
      <w:pPr>
        <w:spacing w:after="0" w:line="276" w:lineRule="auto"/>
        <w:ind w:left="1440"/>
        <w:rPr>
          <w:rFonts w:ascii="Arial" w:eastAsia="Arial" w:hAnsi="Arial" w:cs="Arial"/>
        </w:rPr>
      </w:pPr>
      <w:proofErr w:type="spellStart"/>
      <w:r>
        <w:rPr>
          <w:rFonts w:ascii="Arial" w:eastAsia="Arial" w:hAnsi="Arial" w:cs="Arial"/>
        </w:rPr>
        <w:t>i</w:t>
      </w:r>
      <w:proofErr w:type="spellEnd"/>
      <w:r>
        <w:rPr>
          <w:rFonts w:ascii="Arial" w:eastAsia="Arial" w:hAnsi="Arial" w:cs="Arial"/>
        </w:rPr>
        <w:t xml:space="preserve">. Any LGU-initiated activity, facility, or program that is outside of the prescribed functions and responsibilities of said </w:t>
      </w:r>
      <w:proofErr w:type="gramStart"/>
      <w:r>
        <w:rPr>
          <w:rFonts w:ascii="Arial" w:eastAsia="Arial" w:hAnsi="Arial" w:cs="Arial"/>
        </w:rPr>
        <w:t>LGU;</w:t>
      </w:r>
      <w:proofErr w:type="gramEnd"/>
    </w:p>
    <w:p w14:paraId="5C3DF253" w14:textId="77777777" w:rsidR="009D01A8" w:rsidRDefault="009D01A8" w:rsidP="009D01A8">
      <w:pPr>
        <w:spacing w:after="0" w:line="276" w:lineRule="auto"/>
        <w:ind w:left="1440"/>
        <w:rPr>
          <w:rFonts w:ascii="Arial" w:eastAsia="Arial" w:hAnsi="Arial" w:cs="Arial"/>
        </w:rPr>
      </w:pPr>
      <w:r>
        <w:rPr>
          <w:rFonts w:ascii="Arial" w:eastAsia="Arial" w:hAnsi="Arial" w:cs="Arial"/>
        </w:rPr>
        <w:t>ii. any local ADAC Member Agency-initiated activity, facility, or program that is outside of the prescribed functions and responsibilities of said member agency duly endorsed by the local ADAC through a resolution; or,</w:t>
      </w:r>
    </w:p>
    <w:p w14:paraId="4F864620" w14:textId="77777777" w:rsidR="009D01A8" w:rsidRDefault="009D01A8" w:rsidP="009D01A8">
      <w:pPr>
        <w:spacing w:after="0" w:line="276" w:lineRule="auto"/>
        <w:ind w:left="1440"/>
        <w:rPr>
          <w:rFonts w:ascii="Arial" w:eastAsia="Arial" w:hAnsi="Arial" w:cs="Arial"/>
        </w:rPr>
      </w:pPr>
      <w:r>
        <w:rPr>
          <w:rFonts w:ascii="Arial" w:eastAsia="Arial" w:hAnsi="Arial" w:cs="Arial"/>
        </w:rPr>
        <w:t>iii. any civil society organization (CSO)-initiated activity, facility, or program conducted in cooperation with the LGU through a Memorandum of Agreement/Understanding (MOA/U) and duly endorsed by the local ADAC through a resolution.</w:t>
      </w:r>
    </w:p>
    <w:p w14:paraId="6D3D09A5" w14:textId="77777777" w:rsidR="009D01A8" w:rsidRDefault="009D01A8" w:rsidP="009D01A8">
      <w:pPr>
        <w:spacing w:after="0" w:line="276" w:lineRule="auto"/>
        <w:ind w:left="0"/>
        <w:rPr>
          <w:rFonts w:ascii="Arial" w:eastAsia="Arial" w:hAnsi="Arial" w:cs="Arial"/>
        </w:rPr>
      </w:pPr>
    </w:p>
    <w:p w14:paraId="59A7FED8" w14:textId="77777777" w:rsidR="009D01A8" w:rsidRDefault="009D01A8" w:rsidP="009D01A8">
      <w:pPr>
        <w:numPr>
          <w:ilvl w:val="0"/>
          <w:numId w:val="7"/>
        </w:numPr>
        <w:pBdr>
          <w:top w:val="nil"/>
          <w:left w:val="nil"/>
          <w:bottom w:val="nil"/>
          <w:right w:val="nil"/>
          <w:between w:val="nil"/>
        </w:pBdr>
        <w:spacing w:after="200" w:line="276" w:lineRule="auto"/>
        <w:rPr>
          <w:rFonts w:ascii="Arial" w:eastAsia="Arial" w:hAnsi="Arial" w:cs="Arial"/>
          <w:b/>
        </w:rPr>
      </w:pPr>
      <w:r>
        <w:rPr>
          <w:rFonts w:ascii="Arial" w:eastAsia="Arial" w:hAnsi="Arial" w:cs="Arial"/>
          <w:b/>
          <w:color w:val="000000"/>
        </w:rPr>
        <w:t>ADJECTIVAL RATING OF FUNCTIONALITY</w:t>
      </w:r>
    </w:p>
    <w:p w14:paraId="1CE880B5" w14:textId="77777777" w:rsidR="009D01A8" w:rsidRDefault="009D01A8" w:rsidP="009D01A8">
      <w:pPr>
        <w:pBdr>
          <w:top w:val="nil"/>
          <w:left w:val="nil"/>
          <w:bottom w:val="nil"/>
          <w:right w:val="nil"/>
          <w:between w:val="nil"/>
        </w:pBdr>
        <w:ind w:left="720"/>
        <w:rPr>
          <w:rFonts w:ascii="Arial" w:eastAsia="Arial" w:hAnsi="Arial" w:cs="Arial"/>
        </w:rPr>
      </w:pPr>
      <w:r>
        <w:rPr>
          <w:rFonts w:ascii="Arial" w:eastAsia="Arial" w:hAnsi="Arial" w:cs="Arial"/>
        </w:rPr>
        <w:t>The adjectival rating of ADAC performance and functionality are as follows:</w:t>
      </w:r>
    </w:p>
    <w:tbl>
      <w:tblPr>
        <w:tblStyle w:val="TableGrid"/>
        <w:tblW w:w="0" w:type="auto"/>
        <w:tblInd w:w="10" w:type="dxa"/>
        <w:tblLook w:val="04A0" w:firstRow="1" w:lastRow="0" w:firstColumn="1" w:lastColumn="0" w:noHBand="0" w:noVBand="1"/>
      </w:tblPr>
      <w:tblGrid>
        <w:gridCol w:w="3112"/>
        <w:gridCol w:w="3114"/>
        <w:gridCol w:w="3114"/>
      </w:tblGrid>
      <w:tr w:rsidR="009D01A8" w14:paraId="72702200" w14:textId="77777777" w:rsidTr="00F17916">
        <w:tc>
          <w:tcPr>
            <w:tcW w:w="3116" w:type="dxa"/>
          </w:tcPr>
          <w:p w14:paraId="1E9E6A3C" w14:textId="77777777" w:rsidR="009D01A8" w:rsidRPr="008A468E" w:rsidRDefault="009D01A8" w:rsidP="00F17916">
            <w:pPr>
              <w:spacing w:before="120" w:after="120"/>
              <w:ind w:left="0"/>
              <w:jc w:val="center"/>
              <w:rPr>
                <w:rFonts w:ascii="Arial" w:eastAsia="Arial" w:hAnsi="Arial" w:cs="Arial"/>
                <w:b/>
                <w:bCs/>
              </w:rPr>
            </w:pPr>
            <w:r w:rsidRPr="008A468E">
              <w:rPr>
                <w:rFonts w:ascii="Arial" w:eastAsia="Arial" w:hAnsi="Arial" w:cs="Arial"/>
                <w:b/>
                <w:bCs/>
              </w:rPr>
              <w:t>Audit Score</w:t>
            </w:r>
          </w:p>
        </w:tc>
        <w:tc>
          <w:tcPr>
            <w:tcW w:w="3117" w:type="dxa"/>
          </w:tcPr>
          <w:p w14:paraId="3E5E4867" w14:textId="77777777" w:rsidR="009D01A8" w:rsidRPr="008A468E" w:rsidRDefault="009D01A8" w:rsidP="00F17916">
            <w:pPr>
              <w:spacing w:before="120" w:after="120"/>
              <w:ind w:left="0"/>
              <w:jc w:val="center"/>
              <w:rPr>
                <w:rFonts w:ascii="Arial" w:eastAsia="Arial" w:hAnsi="Arial" w:cs="Arial"/>
                <w:b/>
                <w:bCs/>
              </w:rPr>
            </w:pPr>
            <w:r w:rsidRPr="008A468E">
              <w:rPr>
                <w:rFonts w:ascii="Arial" w:eastAsia="Arial" w:hAnsi="Arial" w:cs="Arial"/>
                <w:b/>
                <w:bCs/>
              </w:rPr>
              <w:t>Adjectival Rating</w:t>
            </w:r>
          </w:p>
        </w:tc>
        <w:tc>
          <w:tcPr>
            <w:tcW w:w="3117" w:type="dxa"/>
          </w:tcPr>
          <w:p w14:paraId="420C71A2" w14:textId="77777777" w:rsidR="009D01A8" w:rsidRPr="008A468E" w:rsidRDefault="009D01A8" w:rsidP="00F17916">
            <w:pPr>
              <w:spacing w:before="120" w:after="120"/>
              <w:ind w:left="0"/>
              <w:jc w:val="center"/>
              <w:rPr>
                <w:rFonts w:ascii="Arial" w:eastAsia="Arial" w:hAnsi="Arial" w:cs="Arial"/>
                <w:b/>
                <w:bCs/>
              </w:rPr>
            </w:pPr>
            <w:r w:rsidRPr="008A468E">
              <w:rPr>
                <w:rFonts w:ascii="Arial" w:eastAsia="Arial" w:hAnsi="Arial" w:cs="Arial"/>
                <w:b/>
                <w:bCs/>
              </w:rPr>
              <w:t>Classification</w:t>
            </w:r>
          </w:p>
        </w:tc>
      </w:tr>
      <w:tr w:rsidR="009D01A8" w14:paraId="2975696C" w14:textId="77777777" w:rsidTr="00F17916">
        <w:tc>
          <w:tcPr>
            <w:tcW w:w="3116" w:type="dxa"/>
          </w:tcPr>
          <w:p w14:paraId="52D54526" w14:textId="77777777" w:rsidR="009D01A8" w:rsidRDefault="009D01A8" w:rsidP="00F17916">
            <w:pPr>
              <w:spacing w:before="120" w:after="120"/>
              <w:ind w:left="0"/>
              <w:jc w:val="center"/>
              <w:rPr>
                <w:rFonts w:ascii="Arial" w:eastAsia="Arial" w:hAnsi="Arial" w:cs="Arial"/>
              </w:rPr>
            </w:pPr>
            <w:r>
              <w:rPr>
                <w:rFonts w:ascii="Arial" w:eastAsia="Arial" w:hAnsi="Arial" w:cs="Arial"/>
              </w:rPr>
              <w:t xml:space="preserve">85 – 100 </w:t>
            </w:r>
          </w:p>
        </w:tc>
        <w:tc>
          <w:tcPr>
            <w:tcW w:w="3117" w:type="dxa"/>
          </w:tcPr>
          <w:p w14:paraId="5ACA930D" w14:textId="77777777" w:rsidR="009D01A8" w:rsidRDefault="009D01A8" w:rsidP="00F17916">
            <w:pPr>
              <w:spacing w:before="120" w:after="120"/>
              <w:ind w:left="0"/>
              <w:jc w:val="center"/>
              <w:rPr>
                <w:rFonts w:ascii="Arial" w:eastAsia="Arial" w:hAnsi="Arial" w:cs="Arial"/>
              </w:rPr>
            </w:pPr>
            <w:r>
              <w:rPr>
                <w:rFonts w:ascii="Arial" w:eastAsia="Arial" w:hAnsi="Arial" w:cs="Arial"/>
              </w:rPr>
              <w:t>High Functional</w:t>
            </w:r>
          </w:p>
        </w:tc>
        <w:tc>
          <w:tcPr>
            <w:tcW w:w="3117" w:type="dxa"/>
          </w:tcPr>
          <w:p w14:paraId="2878482B" w14:textId="77777777" w:rsidR="009D01A8" w:rsidRDefault="009D01A8" w:rsidP="00F17916">
            <w:pPr>
              <w:spacing w:before="120" w:after="120"/>
              <w:ind w:left="0"/>
              <w:jc w:val="center"/>
              <w:rPr>
                <w:rFonts w:ascii="Arial" w:eastAsia="Arial" w:hAnsi="Arial" w:cs="Arial"/>
              </w:rPr>
            </w:pPr>
            <w:r>
              <w:rPr>
                <w:rFonts w:ascii="Arial" w:eastAsia="Arial" w:hAnsi="Arial" w:cs="Arial"/>
              </w:rPr>
              <w:t>Ideal</w:t>
            </w:r>
          </w:p>
        </w:tc>
      </w:tr>
      <w:tr w:rsidR="009D01A8" w14:paraId="7C3B5096" w14:textId="77777777" w:rsidTr="00F17916">
        <w:tc>
          <w:tcPr>
            <w:tcW w:w="3116" w:type="dxa"/>
          </w:tcPr>
          <w:p w14:paraId="185A18DF" w14:textId="77777777" w:rsidR="009D01A8" w:rsidRDefault="009D01A8" w:rsidP="00F17916">
            <w:pPr>
              <w:spacing w:before="120" w:after="120"/>
              <w:ind w:left="0"/>
              <w:jc w:val="center"/>
              <w:rPr>
                <w:rFonts w:ascii="Arial" w:eastAsia="Arial" w:hAnsi="Arial" w:cs="Arial"/>
              </w:rPr>
            </w:pPr>
            <w:r>
              <w:rPr>
                <w:rFonts w:ascii="Arial" w:eastAsia="Arial" w:hAnsi="Arial" w:cs="Arial"/>
              </w:rPr>
              <w:t xml:space="preserve">51 – 84 </w:t>
            </w:r>
          </w:p>
        </w:tc>
        <w:tc>
          <w:tcPr>
            <w:tcW w:w="3117" w:type="dxa"/>
          </w:tcPr>
          <w:p w14:paraId="5378E52C" w14:textId="77777777" w:rsidR="009D01A8" w:rsidRDefault="009D01A8" w:rsidP="00F17916">
            <w:pPr>
              <w:spacing w:before="120" w:after="120"/>
              <w:ind w:left="0"/>
              <w:jc w:val="center"/>
              <w:rPr>
                <w:rFonts w:ascii="Arial" w:eastAsia="Arial" w:hAnsi="Arial" w:cs="Arial"/>
              </w:rPr>
            </w:pPr>
            <w:r>
              <w:rPr>
                <w:rFonts w:ascii="Arial" w:eastAsia="Arial" w:hAnsi="Arial" w:cs="Arial"/>
              </w:rPr>
              <w:t>Moderate Functional</w:t>
            </w:r>
          </w:p>
        </w:tc>
        <w:tc>
          <w:tcPr>
            <w:tcW w:w="3117" w:type="dxa"/>
          </w:tcPr>
          <w:p w14:paraId="5FFCB1BC" w14:textId="77777777" w:rsidR="009D01A8" w:rsidRDefault="009D01A8" w:rsidP="00F17916">
            <w:pPr>
              <w:spacing w:before="120" w:after="120"/>
              <w:ind w:left="0"/>
              <w:jc w:val="center"/>
              <w:rPr>
                <w:rFonts w:ascii="Arial" w:eastAsia="Arial" w:hAnsi="Arial" w:cs="Arial"/>
              </w:rPr>
            </w:pPr>
            <w:r>
              <w:rPr>
                <w:rFonts w:ascii="Arial" w:eastAsia="Arial" w:hAnsi="Arial" w:cs="Arial"/>
              </w:rPr>
              <w:t>Progressive</w:t>
            </w:r>
          </w:p>
        </w:tc>
      </w:tr>
      <w:tr w:rsidR="009D01A8" w14:paraId="47B9A8BA" w14:textId="77777777" w:rsidTr="00F17916">
        <w:tc>
          <w:tcPr>
            <w:tcW w:w="3116" w:type="dxa"/>
          </w:tcPr>
          <w:p w14:paraId="0A8F7BCA" w14:textId="77777777" w:rsidR="009D01A8" w:rsidRDefault="009D01A8" w:rsidP="00F17916">
            <w:pPr>
              <w:spacing w:before="120" w:after="120"/>
              <w:ind w:left="0"/>
              <w:jc w:val="center"/>
              <w:rPr>
                <w:rFonts w:ascii="Arial" w:eastAsia="Arial" w:hAnsi="Arial" w:cs="Arial"/>
              </w:rPr>
            </w:pPr>
            <w:r>
              <w:rPr>
                <w:rFonts w:ascii="Arial" w:eastAsia="Arial" w:hAnsi="Arial" w:cs="Arial"/>
              </w:rPr>
              <w:t xml:space="preserve">50 below </w:t>
            </w:r>
          </w:p>
        </w:tc>
        <w:tc>
          <w:tcPr>
            <w:tcW w:w="3117" w:type="dxa"/>
          </w:tcPr>
          <w:p w14:paraId="3D8C9A12" w14:textId="77777777" w:rsidR="009D01A8" w:rsidRDefault="009D01A8" w:rsidP="00F17916">
            <w:pPr>
              <w:spacing w:before="120" w:after="120"/>
              <w:ind w:left="0"/>
              <w:jc w:val="center"/>
              <w:rPr>
                <w:rFonts w:ascii="Arial" w:eastAsia="Arial" w:hAnsi="Arial" w:cs="Arial"/>
              </w:rPr>
            </w:pPr>
            <w:r>
              <w:rPr>
                <w:rFonts w:ascii="Arial" w:eastAsia="Arial" w:hAnsi="Arial" w:cs="Arial"/>
              </w:rPr>
              <w:t>Low Functional</w:t>
            </w:r>
          </w:p>
        </w:tc>
        <w:tc>
          <w:tcPr>
            <w:tcW w:w="3117" w:type="dxa"/>
          </w:tcPr>
          <w:p w14:paraId="55FF8C63" w14:textId="77777777" w:rsidR="009D01A8" w:rsidRDefault="009D01A8" w:rsidP="00F17916">
            <w:pPr>
              <w:spacing w:before="120" w:after="120"/>
              <w:ind w:left="0"/>
              <w:jc w:val="center"/>
              <w:rPr>
                <w:rFonts w:ascii="Arial" w:eastAsia="Arial" w:hAnsi="Arial" w:cs="Arial"/>
              </w:rPr>
            </w:pPr>
            <w:r>
              <w:rPr>
                <w:rFonts w:ascii="Arial" w:eastAsia="Arial" w:hAnsi="Arial" w:cs="Arial"/>
              </w:rPr>
              <w:t>Basic</w:t>
            </w:r>
          </w:p>
        </w:tc>
      </w:tr>
    </w:tbl>
    <w:p w14:paraId="388ABD97" w14:textId="77777777" w:rsidR="009D01A8" w:rsidRDefault="009D01A8" w:rsidP="009D01A8">
      <w:pPr>
        <w:pBdr>
          <w:top w:val="nil"/>
          <w:left w:val="nil"/>
          <w:bottom w:val="nil"/>
          <w:right w:val="nil"/>
          <w:between w:val="nil"/>
        </w:pBdr>
        <w:ind w:left="0"/>
        <w:rPr>
          <w:rFonts w:ascii="Arial" w:eastAsia="Arial" w:hAnsi="Arial" w:cs="Arial"/>
        </w:rPr>
      </w:pPr>
    </w:p>
    <w:p w14:paraId="3D98116A" w14:textId="77777777" w:rsidR="009D01A8" w:rsidRDefault="009D01A8" w:rsidP="009D01A8">
      <w:pPr>
        <w:numPr>
          <w:ilvl w:val="0"/>
          <w:numId w:val="3"/>
        </w:numPr>
        <w:pBdr>
          <w:top w:val="nil"/>
          <w:left w:val="nil"/>
          <w:bottom w:val="nil"/>
          <w:right w:val="nil"/>
          <w:between w:val="nil"/>
        </w:pBdr>
        <w:spacing w:after="0" w:line="276" w:lineRule="auto"/>
        <w:rPr>
          <w:rFonts w:ascii="Arial" w:eastAsia="Arial" w:hAnsi="Arial" w:cs="Arial"/>
        </w:rPr>
      </w:pPr>
      <w:r>
        <w:rPr>
          <w:rFonts w:ascii="Arial" w:eastAsia="Arial" w:hAnsi="Arial" w:cs="Arial"/>
          <w:color w:val="000000"/>
        </w:rPr>
        <w:t>Only ideal ADACs, or those with high functionality, may be eligible for the national recognition which may be in the form of certificates, plaques, and/or cash incentives, subject to the availability of funds.</w:t>
      </w:r>
    </w:p>
    <w:p w14:paraId="0DE0D4E5" w14:textId="77777777" w:rsidR="009D01A8" w:rsidRDefault="009D01A8" w:rsidP="009D01A8">
      <w:pPr>
        <w:numPr>
          <w:ilvl w:val="0"/>
          <w:numId w:val="3"/>
        </w:numPr>
        <w:pBdr>
          <w:top w:val="nil"/>
          <w:left w:val="nil"/>
          <w:bottom w:val="nil"/>
          <w:right w:val="nil"/>
          <w:between w:val="nil"/>
        </w:pBdr>
        <w:spacing w:after="200" w:line="276" w:lineRule="auto"/>
        <w:rPr>
          <w:rFonts w:ascii="Arial" w:eastAsia="Arial" w:hAnsi="Arial" w:cs="Arial"/>
        </w:rPr>
      </w:pPr>
      <w:r>
        <w:rPr>
          <w:rFonts w:ascii="Arial" w:eastAsia="Arial" w:hAnsi="Arial" w:cs="Arial"/>
          <w:color w:val="000000"/>
        </w:rPr>
        <w:t>Basic ADACs, or those with low functionality, shall be recommended for the appropriate intervention and/or legal action. Non-compliant ADACs, or those with zero (0) points due to non-submission of MOVs, shall be recommended for appropriate legal action.</w:t>
      </w:r>
      <w:r>
        <w:br w:type="page"/>
      </w:r>
    </w:p>
    <w:p w14:paraId="05541050" w14:textId="77777777" w:rsidR="009D01A8" w:rsidRPr="00215E1E" w:rsidRDefault="009D01A8" w:rsidP="009D01A8">
      <w:pPr>
        <w:numPr>
          <w:ilvl w:val="0"/>
          <w:numId w:val="6"/>
        </w:numPr>
        <w:pBdr>
          <w:top w:val="nil"/>
          <w:left w:val="nil"/>
          <w:bottom w:val="nil"/>
          <w:right w:val="nil"/>
          <w:between w:val="nil"/>
        </w:pBdr>
        <w:spacing w:after="0" w:line="276" w:lineRule="auto"/>
        <w:ind w:left="450" w:hanging="450"/>
        <w:jc w:val="left"/>
        <w:rPr>
          <w:rFonts w:ascii="Arial" w:eastAsia="Arial" w:hAnsi="Arial" w:cs="Arial"/>
          <w:b/>
          <w:color w:val="000000"/>
        </w:rPr>
      </w:pPr>
      <w:r>
        <w:rPr>
          <w:rFonts w:ascii="Arial" w:eastAsia="Arial" w:hAnsi="Arial" w:cs="Arial"/>
          <w:b/>
          <w:color w:val="000000"/>
          <w:sz w:val="24"/>
          <w:szCs w:val="24"/>
        </w:rPr>
        <w:lastRenderedPageBreak/>
        <w:t>INDICATIVE TIMELINE</w:t>
      </w:r>
    </w:p>
    <w:p w14:paraId="05028C9B" w14:textId="77777777" w:rsidR="009D01A8" w:rsidRDefault="009D01A8" w:rsidP="009D01A8">
      <w:pPr>
        <w:pBdr>
          <w:top w:val="nil"/>
          <w:left w:val="nil"/>
          <w:bottom w:val="nil"/>
          <w:right w:val="nil"/>
          <w:between w:val="nil"/>
        </w:pBdr>
        <w:spacing w:after="0" w:line="276" w:lineRule="auto"/>
        <w:jc w:val="left"/>
        <w:rPr>
          <w:rFonts w:ascii="Arial" w:eastAsia="Arial" w:hAnsi="Arial" w:cs="Arial"/>
          <w:b/>
          <w:color w:val="000000"/>
          <w:sz w:val="24"/>
          <w:szCs w:val="24"/>
        </w:rPr>
      </w:pPr>
    </w:p>
    <w:tbl>
      <w:tblPr>
        <w:tblStyle w:val="TableGrid"/>
        <w:tblW w:w="0" w:type="auto"/>
        <w:tblLook w:val="04A0" w:firstRow="1" w:lastRow="0" w:firstColumn="1" w:lastColumn="0" w:noHBand="0" w:noVBand="1"/>
      </w:tblPr>
      <w:tblGrid>
        <w:gridCol w:w="4315"/>
        <w:gridCol w:w="1890"/>
        <w:gridCol w:w="3145"/>
      </w:tblGrid>
      <w:tr w:rsidR="009D01A8" w14:paraId="2A7E37C6" w14:textId="77777777" w:rsidTr="00F17916">
        <w:tc>
          <w:tcPr>
            <w:tcW w:w="4315" w:type="dxa"/>
          </w:tcPr>
          <w:p w14:paraId="4DD8CAFC" w14:textId="77777777" w:rsidR="009D01A8" w:rsidRPr="00661D44" w:rsidRDefault="009D01A8" w:rsidP="00F17916">
            <w:pPr>
              <w:tabs>
                <w:tab w:val="center" w:pos="937"/>
                <w:tab w:val="center" w:pos="3225"/>
              </w:tabs>
              <w:ind w:left="0"/>
              <w:jc w:val="center"/>
              <w:rPr>
                <w:rFonts w:ascii="Arial" w:eastAsia="Arial" w:hAnsi="Arial" w:cs="Arial"/>
                <w:b/>
                <w:sz w:val="24"/>
                <w:szCs w:val="24"/>
              </w:rPr>
            </w:pPr>
            <w:r w:rsidRPr="00661D44">
              <w:rPr>
                <w:rFonts w:ascii="Arial" w:eastAsia="Arial" w:hAnsi="Arial" w:cs="Arial"/>
                <w:b/>
                <w:sz w:val="24"/>
                <w:szCs w:val="24"/>
              </w:rPr>
              <w:t>Audit Phase</w:t>
            </w:r>
          </w:p>
        </w:tc>
        <w:tc>
          <w:tcPr>
            <w:tcW w:w="1890" w:type="dxa"/>
          </w:tcPr>
          <w:p w14:paraId="10EFF3A0" w14:textId="77777777" w:rsidR="009D01A8" w:rsidRPr="00661D44" w:rsidRDefault="009D01A8" w:rsidP="00F17916">
            <w:pPr>
              <w:tabs>
                <w:tab w:val="center" w:pos="937"/>
                <w:tab w:val="center" w:pos="3225"/>
              </w:tabs>
              <w:ind w:left="0"/>
              <w:jc w:val="center"/>
              <w:rPr>
                <w:rFonts w:ascii="Arial" w:eastAsia="Arial" w:hAnsi="Arial" w:cs="Arial"/>
                <w:b/>
                <w:sz w:val="24"/>
                <w:szCs w:val="24"/>
              </w:rPr>
            </w:pPr>
            <w:r w:rsidRPr="00661D44">
              <w:rPr>
                <w:rFonts w:ascii="Arial" w:eastAsia="Arial" w:hAnsi="Arial" w:cs="Arial"/>
                <w:b/>
                <w:sz w:val="24"/>
                <w:szCs w:val="24"/>
              </w:rPr>
              <w:t>Audit Year</w:t>
            </w:r>
          </w:p>
        </w:tc>
        <w:tc>
          <w:tcPr>
            <w:tcW w:w="3145" w:type="dxa"/>
          </w:tcPr>
          <w:p w14:paraId="6061FEF0" w14:textId="77777777" w:rsidR="009D01A8" w:rsidRPr="00661D44" w:rsidRDefault="009D01A8" w:rsidP="00F17916">
            <w:pPr>
              <w:tabs>
                <w:tab w:val="center" w:pos="937"/>
                <w:tab w:val="center" w:pos="3225"/>
              </w:tabs>
              <w:ind w:left="0"/>
              <w:jc w:val="center"/>
              <w:rPr>
                <w:rFonts w:ascii="Arial" w:eastAsia="Arial" w:hAnsi="Arial" w:cs="Arial"/>
                <w:b/>
                <w:sz w:val="24"/>
                <w:szCs w:val="24"/>
              </w:rPr>
            </w:pPr>
            <w:r w:rsidRPr="00661D44">
              <w:rPr>
                <w:rFonts w:ascii="Arial" w:eastAsia="Arial" w:hAnsi="Arial" w:cs="Arial"/>
                <w:b/>
                <w:sz w:val="24"/>
                <w:szCs w:val="24"/>
              </w:rPr>
              <w:t>Schedule</w:t>
            </w:r>
          </w:p>
        </w:tc>
      </w:tr>
      <w:tr w:rsidR="009D01A8" w14:paraId="69062802" w14:textId="77777777" w:rsidTr="00F17916">
        <w:trPr>
          <w:trHeight w:val="449"/>
        </w:trPr>
        <w:tc>
          <w:tcPr>
            <w:tcW w:w="4315" w:type="dxa"/>
            <w:vMerge w:val="restart"/>
          </w:tcPr>
          <w:p w14:paraId="472E60B3" w14:textId="77777777" w:rsidR="009D01A8" w:rsidRPr="00661D44" w:rsidRDefault="009D01A8" w:rsidP="00F17916">
            <w:pPr>
              <w:tabs>
                <w:tab w:val="center" w:pos="937"/>
                <w:tab w:val="center" w:pos="3225"/>
              </w:tabs>
              <w:ind w:left="0"/>
              <w:jc w:val="left"/>
              <w:rPr>
                <w:rFonts w:ascii="Arial" w:eastAsia="Arial" w:hAnsi="Arial" w:cs="Arial"/>
                <w:sz w:val="24"/>
                <w:szCs w:val="24"/>
              </w:rPr>
            </w:pPr>
          </w:p>
          <w:p w14:paraId="59408E97" w14:textId="77777777" w:rsidR="009D01A8" w:rsidRPr="00661D44" w:rsidRDefault="009D01A8" w:rsidP="00F17916">
            <w:pPr>
              <w:tabs>
                <w:tab w:val="center" w:pos="937"/>
                <w:tab w:val="center" w:pos="3225"/>
              </w:tabs>
              <w:ind w:left="0"/>
              <w:jc w:val="left"/>
              <w:rPr>
                <w:rFonts w:ascii="Arial" w:eastAsia="Arial" w:hAnsi="Arial" w:cs="Arial"/>
                <w:sz w:val="24"/>
                <w:szCs w:val="24"/>
              </w:rPr>
            </w:pPr>
          </w:p>
          <w:p w14:paraId="1CAB0F59" w14:textId="77777777" w:rsidR="009D01A8" w:rsidRPr="00661D44" w:rsidRDefault="009D01A8" w:rsidP="00F17916">
            <w:pPr>
              <w:tabs>
                <w:tab w:val="center" w:pos="937"/>
                <w:tab w:val="center" w:pos="3225"/>
              </w:tabs>
              <w:ind w:left="0"/>
              <w:jc w:val="left"/>
              <w:rPr>
                <w:rFonts w:ascii="Arial" w:eastAsia="Arial" w:hAnsi="Arial" w:cs="Arial"/>
                <w:sz w:val="24"/>
                <w:szCs w:val="24"/>
              </w:rPr>
            </w:pPr>
          </w:p>
          <w:p w14:paraId="697890A9" w14:textId="77777777" w:rsidR="009D01A8" w:rsidRPr="00661D44" w:rsidRDefault="009D01A8" w:rsidP="00F17916">
            <w:pPr>
              <w:tabs>
                <w:tab w:val="center" w:pos="937"/>
                <w:tab w:val="center" w:pos="3225"/>
              </w:tabs>
              <w:ind w:left="0"/>
              <w:jc w:val="left"/>
              <w:rPr>
                <w:rFonts w:ascii="Arial" w:eastAsia="Arial" w:hAnsi="Arial" w:cs="Arial"/>
                <w:sz w:val="24"/>
                <w:szCs w:val="24"/>
              </w:rPr>
            </w:pPr>
          </w:p>
          <w:p w14:paraId="5152A099" w14:textId="77777777" w:rsidR="009D01A8" w:rsidRDefault="009D01A8" w:rsidP="00F17916">
            <w:pPr>
              <w:tabs>
                <w:tab w:val="center" w:pos="937"/>
                <w:tab w:val="center" w:pos="3225"/>
              </w:tabs>
              <w:ind w:left="0"/>
              <w:jc w:val="left"/>
              <w:rPr>
                <w:rFonts w:ascii="Arial" w:eastAsia="Arial" w:hAnsi="Arial" w:cs="Arial"/>
                <w:sz w:val="24"/>
                <w:szCs w:val="24"/>
              </w:rPr>
            </w:pPr>
          </w:p>
          <w:p w14:paraId="69E7FB6D" w14:textId="77777777" w:rsidR="009D01A8" w:rsidRPr="00661D44" w:rsidRDefault="009D01A8" w:rsidP="00F17916">
            <w:pPr>
              <w:tabs>
                <w:tab w:val="center" w:pos="937"/>
                <w:tab w:val="center" w:pos="3225"/>
              </w:tabs>
              <w:ind w:left="0"/>
              <w:jc w:val="left"/>
              <w:rPr>
                <w:rFonts w:ascii="Arial" w:eastAsia="Arial" w:hAnsi="Arial" w:cs="Arial"/>
                <w:sz w:val="24"/>
                <w:szCs w:val="24"/>
              </w:rPr>
            </w:pPr>
            <w:r w:rsidRPr="00661D44">
              <w:rPr>
                <w:rFonts w:ascii="Arial" w:eastAsia="Arial" w:hAnsi="Arial" w:cs="Arial"/>
                <w:sz w:val="24"/>
                <w:szCs w:val="24"/>
              </w:rPr>
              <w:t>Phase 1: Data Gathering and Uploading Phase</w:t>
            </w:r>
          </w:p>
        </w:tc>
        <w:tc>
          <w:tcPr>
            <w:tcW w:w="1890" w:type="dxa"/>
            <w:vMerge w:val="restart"/>
          </w:tcPr>
          <w:p w14:paraId="03A56961" w14:textId="77777777" w:rsidR="009D01A8" w:rsidRPr="00661D44" w:rsidRDefault="009D01A8" w:rsidP="00F17916">
            <w:pPr>
              <w:spacing w:line="259" w:lineRule="auto"/>
              <w:ind w:left="0"/>
              <w:jc w:val="center"/>
              <w:rPr>
                <w:rFonts w:ascii="Arial" w:eastAsia="Arial" w:hAnsi="Arial" w:cs="Arial"/>
                <w:sz w:val="24"/>
                <w:szCs w:val="24"/>
              </w:rPr>
            </w:pPr>
          </w:p>
          <w:p w14:paraId="7BC86D79" w14:textId="77777777" w:rsidR="009D01A8" w:rsidRDefault="009D01A8" w:rsidP="00F17916">
            <w:pPr>
              <w:spacing w:line="259" w:lineRule="auto"/>
              <w:ind w:left="0"/>
              <w:jc w:val="center"/>
              <w:rPr>
                <w:rFonts w:ascii="Arial" w:eastAsia="Arial" w:hAnsi="Arial" w:cs="Arial"/>
                <w:sz w:val="24"/>
                <w:szCs w:val="24"/>
              </w:rPr>
            </w:pPr>
          </w:p>
          <w:p w14:paraId="531CC6D9" w14:textId="77777777" w:rsidR="009D01A8" w:rsidRDefault="009D01A8" w:rsidP="00F17916">
            <w:pPr>
              <w:spacing w:line="259" w:lineRule="auto"/>
              <w:ind w:left="0"/>
              <w:jc w:val="center"/>
              <w:rPr>
                <w:rFonts w:ascii="Arial" w:eastAsia="Arial" w:hAnsi="Arial" w:cs="Arial"/>
                <w:sz w:val="24"/>
                <w:szCs w:val="24"/>
              </w:rPr>
            </w:pPr>
          </w:p>
          <w:p w14:paraId="12055178" w14:textId="77777777" w:rsidR="009D01A8" w:rsidRPr="00661D44" w:rsidRDefault="009D01A8" w:rsidP="00F17916">
            <w:pPr>
              <w:spacing w:line="259" w:lineRule="auto"/>
              <w:ind w:left="0"/>
              <w:jc w:val="center"/>
              <w:rPr>
                <w:rFonts w:ascii="Arial" w:eastAsia="Arial" w:hAnsi="Arial" w:cs="Arial"/>
                <w:sz w:val="24"/>
                <w:szCs w:val="24"/>
              </w:rPr>
            </w:pPr>
            <w:r w:rsidRPr="00661D44">
              <w:rPr>
                <w:rFonts w:ascii="Arial" w:eastAsia="Arial" w:hAnsi="Arial" w:cs="Arial"/>
                <w:sz w:val="24"/>
                <w:szCs w:val="24"/>
              </w:rPr>
              <w:t>2019</w:t>
            </w:r>
          </w:p>
        </w:tc>
        <w:tc>
          <w:tcPr>
            <w:tcW w:w="3145" w:type="dxa"/>
          </w:tcPr>
          <w:p w14:paraId="71132BE0" w14:textId="77777777" w:rsidR="009D01A8" w:rsidRPr="00661D44" w:rsidRDefault="009D01A8" w:rsidP="00F17916">
            <w:pPr>
              <w:spacing w:before="120" w:after="120" w:line="259" w:lineRule="auto"/>
              <w:ind w:left="0"/>
              <w:jc w:val="center"/>
              <w:rPr>
                <w:rFonts w:ascii="Arial" w:eastAsia="Arial" w:hAnsi="Arial" w:cs="Arial"/>
                <w:sz w:val="24"/>
                <w:szCs w:val="24"/>
              </w:rPr>
            </w:pPr>
            <w:r w:rsidRPr="00661D44">
              <w:rPr>
                <w:rFonts w:ascii="Arial" w:eastAsia="Arial" w:hAnsi="Arial" w:cs="Arial"/>
                <w:sz w:val="24"/>
                <w:szCs w:val="24"/>
              </w:rPr>
              <w:t>Component Cities/Municipalities</w:t>
            </w:r>
          </w:p>
          <w:p w14:paraId="078734ED" w14:textId="77777777" w:rsidR="009D01A8" w:rsidRPr="00661D44" w:rsidRDefault="009D01A8" w:rsidP="00F17916">
            <w:pPr>
              <w:tabs>
                <w:tab w:val="center" w:pos="937"/>
                <w:tab w:val="center" w:pos="3225"/>
              </w:tabs>
              <w:spacing w:before="120" w:after="120"/>
              <w:ind w:left="0"/>
              <w:jc w:val="center"/>
              <w:rPr>
                <w:rFonts w:ascii="Arial" w:eastAsia="Arial" w:hAnsi="Arial" w:cs="Arial"/>
                <w:b/>
                <w:sz w:val="24"/>
                <w:szCs w:val="24"/>
              </w:rPr>
            </w:pPr>
            <w:r w:rsidRPr="00661D44">
              <w:rPr>
                <w:rFonts w:ascii="Arial" w:eastAsia="Arial" w:hAnsi="Arial" w:cs="Arial"/>
                <w:b/>
                <w:sz w:val="24"/>
                <w:szCs w:val="24"/>
              </w:rPr>
              <w:t>May 3 – 14</w:t>
            </w:r>
          </w:p>
        </w:tc>
      </w:tr>
      <w:tr w:rsidR="009D01A8" w14:paraId="177CD291" w14:textId="77777777" w:rsidTr="00F17916">
        <w:tc>
          <w:tcPr>
            <w:tcW w:w="4315" w:type="dxa"/>
            <w:vMerge/>
          </w:tcPr>
          <w:p w14:paraId="2C39D29C" w14:textId="77777777" w:rsidR="009D01A8" w:rsidRPr="00661D44" w:rsidRDefault="009D01A8" w:rsidP="00F17916">
            <w:pPr>
              <w:tabs>
                <w:tab w:val="center" w:pos="937"/>
                <w:tab w:val="center" w:pos="3225"/>
              </w:tabs>
              <w:ind w:left="0"/>
              <w:jc w:val="left"/>
              <w:rPr>
                <w:rFonts w:ascii="Arial" w:eastAsia="Arial" w:hAnsi="Arial" w:cs="Arial"/>
                <w:sz w:val="24"/>
                <w:szCs w:val="24"/>
              </w:rPr>
            </w:pPr>
          </w:p>
        </w:tc>
        <w:tc>
          <w:tcPr>
            <w:tcW w:w="1890" w:type="dxa"/>
            <w:vMerge/>
          </w:tcPr>
          <w:p w14:paraId="41516424" w14:textId="77777777" w:rsidR="009D01A8" w:rsidRPr="00661D44" w:rsidRDefault="009D01A8" w:rsidP="00F17916">
            <w:pPr>
              <w:spacing w:line="259" w:lineRule="auto"/>
              <w:ind w:left="0"/>
              <w:jc w:val="center"/>
              <w:rPr>
                <w:rFonts w:ascii="Arial" w:eastAsia="Arial" w:hAnsi="Arial" w:cs="Arial"/>
                <w:sz w:val="24"/>
                <w:szCs w:val="24"/>
              </w:rPr>
            </w:pPr>
          </w:p>
        </w:tc>
        <w:tc>
          <w:tcPr>
            <w:tcW w:w="3145" w:type="dxa"/>
          </w:tcPr>
          <w:p w14:paraId="6A7B9F21" w14:textId="77777777" w:rsidR="009D01A8" w:rsidRPr="00661D44" w:rsidRDefault="009D01A8" w:rsidP="00F17916">
            <w:pPr>
              <w:spacing w:before="120" w:after="120" w:line="259" w:lineRule="auto"/>
              <w:ind w:left="0"/>
              <w:jc w:val="center"/>
              <w:rPr>
                <w:rFonts w:ascii="Arial" w:eastAsia="Arial" w:hAnsi="Arial" w:cs="Arial"/>
                <w:sz w:val="24"/>
                <w:szCs w:val="24"/>
              </w:rPr>
            </w:pPr>
            <w:r w:rsidRPr="00661D44">
              <w:rPr>
                <w:rFonts w:ascii="Arial" w:eastAsia="Arial" w:hAnsi="Arial" w:cs="Arial"/>
                <w:sz w:val="24"/>
                <w:szCs w:val="24"/>
              </w:rPr>
              <w:t>Provinces/HUCs/ICCs</w:t>
            </w:r>
          </w:p>
          <w:p w14:paraId="23949DF7" w14:textId="77777777" w:rsidR="009D01A8" w:rsidRPr="00661D44" w:rsidRDefault="009D01A8" w:rsidP="00F17916">
            <w:pPr>
              <w:tabs>
                <w:tab w:val="center" w:pos="937"/>
                <w:tab w:val="center" w:pos="3225"/>
              </w:tabs>
              <w:spacing w:before="120" w:after="120"/>
              <w:ind w:left="0"/>
              <w:jc w:val="center"/>
              <w:rPr>
                <w:rFonts w:ascii="Arial" w:eastAsia="Arial" w:hAnsi="Arial" w:cs="Arial"/>
                <w:b/>
                <w:sz w:val="24"/>
                <w:szCs w:val="24"/>
              </w:rPr>
            </w:pPr>
            <w:r w:rsidRPr="00661D44">
              <w:rPr>
                <w:rFonts w:ascii="Arial" w:eastAsia="Arial" w:hAnsi="Arial" w:cs="Arial"/>
                <w:b/>
                <w:sz w:val="24"/>
                <w:szCs w:val="24"/>
              </w:rPr>
              <w:t xml:space="preserve">May 31 – June 11 </w:t>
            </w:r>
          </w:p>
        </w:tc>
      </w:tr>
      <w:tr w:rsidR="009D01A8" w14:paraId="7247B41D" w14:textId="77777777" w:rsidTr="00F17916">
        <w:tc>
          <w:tcPr>
            <w:tcW w:w="4315" w:type="dxa"/>
            <w:vMerge/>
          </w:tcPr>
          <w:p w14:paraId="2AA6C33E" w14:textId="77777777" w:rsidR="009D01A8" w:rsidRPr="00661D44" w:rsidRDefault="009D01A8" w:rsidP="00F17916">
            <w:pPr>
              <w:tabs>
                <w:tab w:val="center" w:pos="937"/>
                <w:tab w:val="center" w:pos="3225"/>
              </w:tabs>
              <w:ind w:left="0"/>
              <w:jc w:val="left"/>
              <w:rPr>
                <w:rFonts w:ascii="Arial" w:eastAsia="Arial" w:hAnsi="Arial" w:cs="Arial"/>
                <w:sz w:val="24"/>
                <w:szCs w:val="24"/>
              </w:rPr>
            </w:pPr>
          </w:p>
        </w:tc>
        <w:tc>
          <w:tcPr>
            <w:tcW w:w="1890" w:type="dxa"/>
            <w:vMerge w:val="restart"/>
          </w:tcPr>
          <w:p w14:paraId="5A9CEEB3" w14:textId="77777777" w:rsidR="009D01A8" w:rsidRPr="00661D44" w:rsidRDefault="009D01A8" w:rsidP="00F17916">
            <w:pPr>
              <w:spacing w:line="259" w:lineRule="auto"/>
              <w:ind w:left="0"/>
              <w:rPr>
                <w:rFonts w:ascii="Arial" w:eastAsia="Arial" w:hAnsi="Arial" w:cs="Arial"/>
                <w:sz w:val="24"/>
                <w:szCs w:val="24"/>
              </w:rPr>
            </w:pPr>
          </w:p>
          <w:p w14:paraId="517E2650" w14:textId="77777777" w:rsidR="009D01A8" w:rsidRDefault="009D01A8" w:rsidP="00F17916">
            <w:pPr>
              <w:spacing w:line="259" w:lineRule="auto"/>
              <w:ind w:left="0"/>
              <w:jc w:val="center"/>
              <w:rPr>
                <w:rFonts w:ascii="Arial" w:eastAsia="Arial" w:hAnsi="Arial" w:cs="Arial"/>
                <w:sz w:val="24"/>
                <w:szCs w:val="24"/>
              </w:rPr>
            </w:pPr>
          </w:p>
          <w:p w14:paraId="6F90AA5E" w14:textId="77777777" w:rsidR="009D01A8" w:rsidRDefault="009D01A8" w:rsidP="00F17916">
            <w:pPr>
              <w:spacing w:line="259" w:lineRule="auto"/>
              <w:ind w:left="0"/>
              <w:jc w:val="center"/>
              <w:rPr>
                <w:rFonts w:ascii="Arial" w:eastAsia="Arial" w:hAnsi="Arial" w:cs="Arial"/>
                <w:sz w:val="24"/>
                <w:szCs w:val="24"/>
              </w:rPr>
            </w:pPr>
          </w:p>
          <w:p w14:paraId="1BE4DA27" w14:textId="77777777" w:rsidR="009D01A8" w:rsidRPr="00661D44" w:rsidRDefault="009D01A8" w:rsidP="00F17916">
            <w:pPr>
              <w:spacing w:line="259" w:lineRule="auto"/>
              <w:ind w:left="0"/>
              <w:jc w:val="center"/>
              <w:rPr>
                <w:rFonts w:ascii="Arial" w:eastAsia="Arial" w:hAnsi="Arial" w:cs="Arial"/>
                <w:sz w:val="24"/>
                <w:szCs w:val="24"/>
              </w:rPr>
            </w:pPr>
            <w:r w:rsidRPr="00661D44">
              <w:rPr>
                <w:rFonts w:ascii="Arial" w:eastAsia="Arial" w:hAnsi="Arial" w:cs="Arial"/>
                <w:sz w:val="24"/>
                <w:szCs w:val="24"/>
              </w:rPr>
              <w:t>2020</w:t>
            </w:r>
          </w:p>
        </w:tc>
        <w:tc>
          <w:tcPr>
            <w:tcW w:w="3145" w:type="dxa"/>
          </w:tcPr>
          <w:p w14:paraId="3591C357" w14:textId="77777777" w:rsidR="009D01A8" w:rsidRPr="00661D44" w:rsidRDefault="009D01A8" w:rsidP="00F17916">
            <w:pPr>
              <w:spacing w:before="120" w:after="120" w:line="259" w:lineRule="auto"/>
              <w:ind w:left="0"/>
              <w:jc w:val="center"/>
              <w:rPr>
                <w:rFonts w:ascii="Arial" w:eastAsia="Arial" w:hAnsi="Arial" w:cs="Arial"/>
                <w:sz w:val="24"/>
                <w:szCs w:val="24"/>
              </w:rPr>
            </w:pPr>
            <w:r w:rsidRPr="00661D44">
              <w:rPr>
                <w:rFonts w:ascii="Arial" w:eastAsia="Arial" w:hAnsi="Arial" w:cs="Arial"/>
                <w:sz w:val="24"/>
                <w:szCs w:val="24"/>
              </w:rPr>
              <w:t>Component Cities/Municipalities</w:t>
            </w:r>
          </w:p>
          <w:p w14:paraId="33FFAAC9" w14:textId="77777777" w:rsidR="009D01A8" w:rsidRPr="00661D44" w:rsidRDefault="009D01A8" w:rsidP="00F17916">
            <w:pPr>
              <w:spacing w:before="120" w:after="120" w:line="259" w:lineRule="auto"/>
              <w:ind w:left="0"/>
              <w:jc w:val="center"/>
              <w:rPr>
                <w:rFonts w:ascii="Arial" w:eastAsia="Arial" w:hAnsi="Arial" w:cs="Arial"/>
                <w:sz w:val="24"/>
                <w:szCs w:val="24"/>
              </w:rPr>
            </w:pPr>
            <w:r w:rsidRPr="00661D44">
              <w:rPr>
                <w:rFonts w:ascii="Arial" w:eastAsia="Arial" w:hAnsi="Arial" w:cs="Arial"/>
                <w:b/>
                <w:sz w:val="24"/>
                <w:szCs w:val="24"/>
              </w:rPr>
              <w:t>June 28 – July 9</w:t>
            </w:r>
          </w:p>
        </w:tc>
      </w:tr>
      <w:tr w:rsidR="009D01A8" w14:paraId="4097BCD7" w14:textId="77777777" w:rsidTr="00F17916">
        <w:tc>
          <w:tcPr>
            <w:tcW w:w="4315" w:type="dxa"/>
            <w:vMerge/>
          </w:tcPr>
          <w:p w14:paraId="43D5A73C" w14:textId="77777777" w:rsidR="009D01A8" w:rsidRPr="00661D44" w:rsidRDefault="009D01A8" w:rsidP="00F17916">
            <w:pPr>
              <w:tabs>
                <w:tab w:val="center" w:pos="937"/>
                <w:tab w:val="center" w:pos="3225"/>
              </w:tabs>
              <w:ind w:left="0"/>
              <w:jc w:val="left"/>
              <w:rPr>
                <w:rFonts w:ascii="Arial" w:eastAsia="Arial" w:hAnsi="Arial" w:cs="Arial"/>
                <w:sz w:val="24"/>
                <w:szCs w:val="24"/>
              </w:rPr>
            </w:pPr>
          </w:p>
        </w:tc>
        <w:tc>
          <w:tcPr>
            <w:tcW w:w="1890" w:type="dxa"/>
            <w:vMerge/>
          </w:tcPr>
          <w:p w14:paraId="767D7572" w14:textId="77777777" w:rsidR="009D01A8" w:rsidRPr="00661D44" w:rsidRDefault="009D01A8" w:rsidP="00F17916">
            <w:pPr>
              <w:spacing w:line="259" w:lineRule="auto"/>
              <w:ind w:left="0"/>
              <w:jc w:val="center"/>
              <w:rPr>
                <w:rFonts w:ascii="Arial" w:eastAsia="Arial" w:hAnsi="Arial" w:cs="Arial"/>
                <w:sz w:val="24"/>
                <w:szCs w:val="24"/>
              </w:rPr>
            </w:pPr>
          </w:p>
        </w:tc>
        <w:tc>
          <w:tcPr>
            <w:tcW w:w="3145" w:type="dxa"/>
          </w:tcPr>
          <w:p w14:paraId="460F8FA6" w14:textId="77777777" w:rsidR="009D01A8" w:rsidRPr="00661D44" w:rsidRDefault="009D01A8" w:rsidP="00F17916">
            <w:pPr>
              <w:spacing w:before="120" w:after="120" w:line="259" w:lineRule="auto"/>
              <w:ind w:left="0"/>
              <w:jc w:val="center"/>
              <w:rPr>
                <w:rFonts w:ascii="Arial" w:eastAsia="Arial" w:hAnsi="Arial" w:cs="Arial"/>
                <w:sz w:val="24"/>
                <w:szCs w:val="24"/>
              </w:rPr>
            </w:pPr>
            <w:r w:rsidRPr="00661D44">
              <w:rPr>
                <w:rFonts w:ascii="Arial" w:eastAsia="Arial" w:hAnsi="Arial" w:cs="Arial"/>
                <w:sz w:val="24"/>
                <w:szCs w:val="24"/>
              </w:rPr>
              <w:t>Provinces/HUCs/ICCs</w:t>
            </w:r>
          </w:p>
          <w:p w14:paraId="5E06A93F" w14:textId="77777777" w:rsidR="009D01A8" w:rsidRPr="00661D44" w:rsidRDefault="009D01A8" w:rsidP="00F17916">
            <w:pPr>
              <w:spacing w:before="120" w:after="120" w:line="259" w:lineRule="auto"/>
              <w:ind w:left="0"/>
              <w:jc w:val="center"/>
              <w:rPr>
                <w:rFonts w:ascii="Arial" w:eastAsia="Arial" w:hAnsi="Arial" w:cs="Arial"/>
                <w:sz w:val="24"/>
                <w:szCs w:val="24"/>
              </w:rPr>
            </w:pPr>
            <w:r w:rsidRPr="00661D44">
              <w:rPr>
                <w:rFonts w:ascii="Arial" w:eastAsia="Arial" w:hAnsi="Arial" w:cs="Arial"/>
                <w:b/>
                <w:sz w:val="24"/>
                <w:szCs w:val="24"/>
              </w:rPr>
              <w:t xml:space="preserve">July 26 – August 6 </w:t>
            </w:r>
          </w:p>
        </w:tc>
      </w:tr>
      <w:tr w:rsidR="009D01A8" w14:paraId="639F701D" w14:textId="77777777" w:rsidTr="00F17916">
        <w:tc>
          <w:tcPr>
            <w:tcW w:w="4315" w:type="dxa"/>
            <w:vMerge w:val="restart"/>
          </w:tcPr>
          <w:p w14:paraId="18344D9D" w14:textId="77777777" w:rsidR="009D01A8" w:rsidRPr="00661D44" w:rsidRDefault="009D01A8" w:rsidP="00F17916">
            <w:pPr>
              <w:tabs>
                <w:tab w:val="center" w:pos="937"/>
                <w:tab w:val="center" w:pos="3225"/>
              </w:tabs>
              <w:ind w:left="0"/>
              <w:jc w:val="left"/>
              <w:rPr>
                <w:rFonts w:ascii="Arial" w:eastAsia="Arial" w:hAnsi="Arial" w:cs="Arial"/>
                <w:sz w:val="24"/>
                <w:szCs w:val="24"/>
              </w:rPr>
            </w:pPr>
          </w:p>
          <w:p w14:paraId="29923AC8" w14:textId="77777777" w:rsidR="009D01A8" w:rsidRPr="00661D44" w:rsidRDefault="009D01A8" w:rsidP="00F17916">
            <w:pPr>
              <w:tabs>
                <w:tab w:val="center" w:pos="937"/>
                <w:tab w:val="center" w:pos="3225"/>
              </w:tabs>
              <w:ind w:left="0"/>
              <w:jc w:val="left"/>
              <w:rPr>
                <w:rFonts w:ascii="Arial" w:eastAsia="Arial" w:hAnsi="Arial" w:cs="Arial"/>
                <w:sz w:val="24"/>
                <w:szCs w:val="24"/>
              </w:rPr>
            </w:pPr>
          </w:p>
          <w:p w14:paraId="69E5CDB7" w14:textId="77777777" w:rsidR="009D01A8" w:rsidRDefault="009D01A8" w:rsidP="00F17916">
            <w:pPr>
              <w:tabs>
                <w:tab w:val="center" w:pos="937"/>
                <w:tab w:val="center" w:pos="3225"/>
              </w:tabs>
              <w:ind w:left="0"/>
              <w:jc w:val="left"/>
              <w:rPr>
                <w:rFonts w:ascii="Arial" w:eastAsia="Arial" w:hAnsi="Arial" w:cs="Arial"/>
                <w:sz w:val="24"/>
                <w:szCs w:val="24"/>
              </w:rPr>
            </w:pPr>
          </w:p>
          <w:p w14:paraId="3011D520" w14:textId="77777777" w:rsidR="009D01A8" w:rsidRDefault="009D01A8" w:rsidP="00F17916">
            <w:pPr>
              <w:tabs>
                <w:tab w:val="center" w:pos="937"/>
                <w:tab w:val="center" w:pos="3225"/>
              </w:tabs>
              <w:ind w:left="0"/>
              <w:jc w:val="left"/>
              <w:rPr>
                <w:rFonts w:ascii="Arial" w:eastAsia="Arial" w:hAnsi="Arial" w:cs="Arial"/>
                <w:sz w:val="24"/>
                <w:szCs w:val="24"/>
              </w:rPr>
            </w:pPr>
          </w:p>
          <w:p w14:paraId="3729F8D4" w14:textId="77777777" w:rsidR="009D01A8" w:rsidRDefault="009D01A8" w:rsidP="00F17916">
            <w:pPr>
              <w:tabs>
                <w:tab w:val="center" w:pos="937"/>
                <w:tab w:val="center" w:pos="3225"/>
              </w:tabs>
              <w:ind w:left="0"/>
              <w:jc w:val="left"/>
              <w:rPr>
                <w:rFonts w:ascii="Arial" w:eastAsia="Arial" w:hAnsi="Arial" w:cs="Arial"/>
                <w:sz w:val="24"/>
                <w:szCs w:val="24"/>
              </w:rPr>
            </w:pPr>
          </w:p>
          <w:p w14:paraId="603BAC70" w14:textId="77777777" w:rsidR="009D01A8" w:rsidRDefault="009D01A8" w:rsidP="00F17916">
            <w:pPr>
              <w:tabs>
                <w:tab w:val="center" w:pos="937"/>
                <w:tab w:val="center" w:pos="3225"/>
              </w:tabs>
              <w:ind w:left="0"/>
              <w:jc w:val="left"/>
              <w:rPr>
                <w:rFonts w:ascii="Arial" w:eastAsia="Arial" w:hAnsi="Arial" w:cs="Arial"/>
                <w:sz w:val="24"/>
                <w:szCs w:val="24"/>
              </w:rPr>
            </w:pPr>
          </w:p>
          <w:p w14:paraId="6C533334" w14:textId="77777777" w:rsidR="009D01A8" w:rsidRDefault="009D01A8" w:rsidP="00F17916">
            <w:pPr>
              <w:tabs>
                <w:tab w:val="center" w:pos="937"/>
                <w:tab w:val="center" w:pos="3225"/>
              </w:tabs>
              <w:ind w:left="0"/>
              <w:jc w:val="left"/>
              <w:rPr>
                <w:rFonts w:ascii="Arial" w:eastAsia="Arial" w:hAnsi="Arial" w:cs="Arial"/>
                <w:sz w:val="24"/>
                <w:szCs w:val="24"/>
              </w:rPr>
            </w:pPr>
          </w:p>
          <w:p w14:paraId="4EE04F05" w14:textId="77777777" w:rsidR="009D01A8" w:rsidRPr="00661D44" w:rsidRDefault="009D01A8" w:rsidP="00F17916">
            <w:pPr>
              <w:tabs>
                <w:tab w:val="center" w:pos="937"/>
                <w:tab w:val="center" w:pos="3225"/>
              </w:tabs>
              <w:ind w:left="0"/>
              <w:jc w:val="left"/>
              <w:rPr>
                <w:rFonts w:ascii="Arial" w:eastAsia="Arial" w:hAnsi="Arial" w:cs="Arial"/>
                <w:sz w:val="24"/>
                <w:szCs w:val="24"/>
              </w:rPr>
            </w:pPr>
            <w:r w:rsidRPr="00661D44">
              <w:rPr>
                <w:rFonts w:ascii="Arial" w:eastAsia="Arial" w:hAnsi="Arial" w:cs="Arial"/>
                <w:sz w:val="24"/>
                <w:szCs w:val="24"/>
              </w:rPr>
              <w:t>Phase 2: ADAC Audit Phase</w:t>
            </w:r>
          </w:p>
        </w:tc>
        <w:tc>
          <w:tcPr>
            <w:tcW w:w="1890" w:type="dxa"/>
            <w:vMerge w:val="restart"/>
          </w:tcPr>
          <w:p w14:paraId="0E4459D9" w14:textId="77777777" w:rsidR="009D01A8" w:rsidRPr="00661D44" w:rsidRDefault="009D01A8" w:rsidP="00F17916">
            <w:pPr>
              <w:spacing w:line="259" w:lineRule="auto"/>
              <w:ind w:left="0"/>
              <w:jc w:val="center"/>
              <w:rPr>
                <w:rFonts w:ascii="Arial" w:eastAsia="Arial" w:hAnsi="Arial" w:cs="Arial"/>
                <w:sz w:val="24"/>
                <w:szCs w:val="24"/>
              </w:rPr>
            </w:pPr>
          </w:p>
          <w:p w14:paraId="6F3783F0" w14:textId="77777777" w:rsidR="009D01A8" w:rsidRPr="00661D44" w:rsidRDefault="009D01A8" w:rsidP="00F17916">
            <w:pPr>
              <w:spacing w:line="259" w:lineRule="auto"/>
              <w:ind w:left="0"/>
              <w:jc w:val="center"/>
              <w:rPr>
                <w:rFonts w:ascii="Arial" w:eastAsia="Arial" w:hAnsi="Arial" w:cs="Arial"/>
                <w:sz w:val="24"/>
                <w:szCs w:val="24"/>
              </w:rPr>
            </w:pPr>
          </w:p>
          <w:p w14:paraId="3FCD918A" w14:textId="77777777" w:rsidR="009D01A8" w:rsidRDefault="009D01A8" w:rsidP="00F17916">
            <w:pPr>
              <w:spacing w:line="259" w:lineRule="auto"/>
              <w:ind w:left="0"/>
              <w:jc w:val="center"/>
              <w:rPr>
                <w:rFonts w:ascii="Arial" w:eastAsia="Arial" w:hAnsi="Arial" w:cs="Arial"/>
                <w:sz w:val="24"/>
                <w:szCs w:val="24"/>
              </w:rPr>
            </w:pPr>
          </w:p>
          <w:p w14:paraId="4C551EA5" w14:textId="77777777" w:rsidR="009D01A8" w:rsidRPr="00661D44" w:rsidRDefault="009D01A8" w:rsidP="00F17916">
            <w:pPr>
              <w:spacing w:line="259" w:lineRule="auto"/>
              <w:ind w:left="0"/>
              <w:jc w:val="center"/>
              <w:rPr>
                <w:rFonts w:ascii="Arial" w:eastAsia="Arial" w:hAnsi="Arial" w:cs="Arial"/>
                <w:sz w:val="24"/>
                <w:szCs w:val="24"/>
              </w:rPr>
            </w:pPr>
            <w:r w:rsidRPr="00661D44">
              <w:rPr>
                <w:rFonts w:ascii="Arial" w:eastAsia="Arial" w:hAnsi="Arial" w:cs="Arial"/>
                <w:sz w:val="24"/>
                <w:szCs w:val="24"/>
              </w:rPr>
              <w:t>2019</w:t>
            </w:r>
          </w:p>
        </w:tc>
        <w:tc>
          <w:tcPr>
            <w:tcW w:w="3145" w:type="dxa"/>
          </w:tcPr>
          <w:p w14:paraId="78856CAA" w14:textId="77777777" w:rsidR="009D01A8" w:rsidRPr="00661D44" w:rsidRDefault="009D01A8" w:rsidP="00F17916">
            <w:pPr>
              <w:spacing w:before="120" w:after="120" w:line="259" w:lineRule="auto"/>
              <w:ind w:left="0"/>
              <w:jc w:val="center"/>
              <w:rPr>
                <w:rFonts w:ascii="Arial" w:eastAsia="Arial" w:hAnsi="Arial" w:cs="Arial"/>
                <w:sz w:val="24"/>
                <w:szCs w:val="24"/>
              </w:rPr>
            </w:pPr>
            <w:r w:rsidRPr="00661D44">
              <w:rPr>
                <w:rFonts w:ascii="Arial" w:eastAsia="Arial" w:hAnsi="Arial" w:cs="Arial"/>
                <w:sz w:val="24"/>
                <w:szCs w:val="24"/>
              </w:rPr>
              <w:t>Component Cities/Municipalities</w:t>
            </w:r>
          </w:p>
          <w:p w14:paraId="31A6B5F6" w14:textId="77777777" w:rsidR="009D01A8" w:rsidRPr="00661D44" w:rsidRDefault="009D01A8" w:rsidP="00F17916">
            <w:pPr>
              <w:tabs>
                <w:tab w:val="center" w:pos="937"/>
                <w:tab w:val="center" w:pos="3225"/>
              </w:tabs>
              <w:spacing w:before="120" w:after="120"/>
              <w:ind w:left="0"/>
              <w:jc w:val="center"/>
              <w:rPr>
                <w:rFonts w:ascii="Arial" w:eastAsia="Arial" w:hAnsi="Arial" w:cs="Arial"/>
                <w:b/>
                <w:sz w:val="24"/>
                <w:szCs w:val="24"/>
              </w:rPr>
            </w:pPr>
            <w:r w:rsidRPr="00661D44">
              <w:rPr>
                <w:rFonts w:ascii="Arial" w:eastAsia="Arial" w:hAnsi="Arial" w:cs="Arial"/>
                <w:b/>
                <w:sz w:val="24"/>
                <w:szCs w:val="24"/>
              </w:rPr>
              <w:t>May 17 – 28</w:t>
            </w:r>
          </w:p>
        </w:tc>
      </w:tr>
      <w:tr w:rsidR="009D01A8" w14:paraId="407039F0" w14:textId="77777777" w:rsidTr="00F17916">
        <w:tc>
          <w:tcPr>
            <w:tcW w:w="4315" w:type="dxa"/>
            <w:vMerge/>
          </w:tcPr>
          <w:p w14:paraId="769CE8E4" w14:textId="77777777" w:rsidR="009D01A8" w:rsidRPr="00661D44" w:rsidRDefault="009D01A8" w:rsidP="00F17916">
            <w:pPr>
              <w:tabs>
                <w:tab w:val="center" w:pos="937"/>
                <w:tab w:val="center" w:pos="3225"/>
              </w:tabs>
              <w:ind w:left="0"/>
              <w:jc w:val="left"/>
              <w:rPr>
                <w:rFonts w:ascii="Arial" w:eastAsia="Arial" w:hAnsi="Arial" w:cs="Arial"/>
                <w:sz w:val="24"/>
                <w:szCs w:val="24"/>
              </w:rPr>
            </w:pPr>
          </w:p>
        </w:tc>
        <w:tc>
          <w:tcPr>
            <w:tcW w:w="1890" w:type="dxa"/>
            <w:vMerge/>
          </w:tcPr>
          <w:p w14:paraId="7C9F634B" w14:textId="77777777" w:rsidR="009D01A8" w:rsidRPr="00661D44" w:rsidRDefault="009D01A8" w:rsidP="00F17916">
            <w:pPr>
              <w:spacing w:line="259" w:lineRule="auto"/>
              <w:ind w:left="0"/>
              <w:jc w:val="center"/>
              <w:rPr>
                <w:rFonts w:ascii="Arial" w:eastAsia="Arial" w:hAnsi="Arial" w:cs="Arial"/>
                <w:sz w:val="24"/>
                <w:szCs w:val="24"/>
              </w:rPr>
            </w:pPr>
          </w:p>
        </w:tc>
        <w:tc>
          <w:tcPr>
            <w:tcW w:w="3145" w:type="dxa"/>
          </w:tcPr>
          <w:p w14:paraId="09B126D1" w14:textId="77777777" w:rsidR="009D01A8" w:rsidRPr="00661D44" w:rsidRDefault="009D01A8" w:rsidP="00F17916">
            <w:pPr>
              <w:spacing w:before="120" w:after="120" w:line="259" w:lineRule="auto"/>
              <w:ind w:left="0"/>
              <w:jc w:val="center"/>
              <w:rPr>
                <w:rFonts w:ascii="Arial" w:eastAsia="Arial" w:hAnsi="Arial" w:cs="Arial"/>
                <w:sz w:val="24"/>
                <w:szCs w:val="24"/>
              </w:rPr>
            </w:pPr>
            <w:r w:rsidRPr="00661D44">
              <w:rPr>
                <w:rFonts w:ascii="Arial" w:eastAsia="Arial" w:hAnsi="Arial" w:cs="Arial"/>
                <w:sz w:val="24"/>
                <w:szCs w:val="24"/>
              </w:rPr>
              <w:t>Provinces/HUCs/ICCs</w:t>
            </w:r>
          </w:p>
          <w:p w14:paraId="6C2AC90F" w14:textId="77777777" w:rsidR="009D01A8" w:rsidRPr="00661D44" w:rsidRDefault="009D01A8" w:rsidP="00F17916">
            <w:pPr>
              <w:tabs>
                <w:tab w:val="center" w:pos="937"/>
                <w:tab w:val="center" w:pos="3225"/>
              </w:tabs>
              <w:spacing w:before="120" w:after="120"/>
              <w:ind w:left="0"/>
              <w:jc w:val="center"/>
              <w:rPr>
                <w:rFonts w:ascii="Arial" w:eastAsia="Arial" w:hAnsi="Arial" w:cs="Arial"/>
                <w:b/>
                <w:sz w:val="24"/>
                <w:szCs w:val="24"/>
              </w:rPr>
            </w:pPr>
            <w:r w:rsidRPr="00661D44">
              <w:rPr>
                <w:rFonts w:ascii="Arial" w:eastAsia="Arial" w:hAnsi="Arial" w:cs="Arial"/>
                <w:b/>
                <w:sz w:val="24"/>
                <w:szCs w:val="24"/>
              </w:rPr>
              <w:t>June 14 – 25</w:t>
            </w:r>
          </w:p>
        </w:tc>
      </w:tr>
      <w:tr w:rsidR="009D01A8" w14:paraId="29BD7C5D" w14:textId="77777777" w:rsidTr="00F17916">
        <w:tc>
          <w:tcPr>
            <w:tcW w:w="4315" w:type="dxa"/>
            <w:vMerge/>
          </w:tcPr>
          <w:p w14:paraId="2C6B7ED6" w14:textId="77777777" w:rsidR="009D01A8" w:rsidRPr="00661D44" w:rsidRDefault="009D01A8" w:rsidP="00F17916">
            <w:pPr>
              <w:tabs>
                <w:tab w:val="center" w:pos="937"/>
                <w:tab w:val="center" w:pos="3225"/>
              </w:tabs>
              <w:ind w:left="0"/>
              <w:jc w:val="left"/>
              <w:rPr>
                <w:rFonts w:ascii="Arial" w:eastAsia="Arial" w:hAnsi="Arial" w:cs="Arial"/>
                <w:sz w:val="24"/>
                <w:szCs w:val="24"/>
              </w:rPr>
            </w:pPr>
          </w:p>
        </w:tc>
        <w:tc>
          <w:tcPr>
            <w:tcW w:w="1890" w:type="dxa"/>
            <w:vMerge w:val="restart"/>
          </w:tcPr>
          <w:p w14:paraId="32ED98A2" w14:textId="77777777" w:rsidR="009D01A8" w:rsidRPr="00661D44" w:rsidRDefault="009D01A8" w:rsidP="00F17916">
            <w:pPr>
              <w:spacing w:line="259" w:lineRule="auto"/>
              <w:ind w:left="0"/>
              <w:jc w:val="center"/>
              <w:rPr>
                <w:rFonts w:ascii="Arial" w:eastAsia="Arial" w:hAnsi="Arial" w:cs="Arial"/>
                <w:sz w:val="24"/>
                <w:szCs w:val="24"/>
              </w:rPr>
            </w:pPr>
          </w:p>
          <w:p w14:paraId="60053DDD" w14:textId="77777777" w:rsidR="009D01A8" w:rsidRPr="00661D44" w:rsidRDefault="009D01A8" w:rsidP="00F17916">
            <w:pPr>
              <w:spacing w:line="259" w:lineRule="auto"/>
              <w:ind w:left="0"/>
              <w:rPr>
                <w:rFonts w:ascii="Arial" w:eastAsia="Arial" w:hAnsi="Arial" w:cs="Arial"/>
                <w:sz w:val="24"/>
                <w:szCs w:val="24"/>
              </w:rPr>
            </w:pPr>
          </w:p>
          <w:p w14:paraId="44233E45" w14:textId="77777777" w:rsidR="009D01A8" w:rsidRDefault="009D01A8" w:rsidP="00F17916">
            <w:pPr>
              <w:spacing w:line="259" w:lineRule="auto"/>
              <w:ind w:left="0"/>
              <w:jc w:val="center"/>
              <w:rPr>
                <w:rFonts w:ascii="Arial" w:eastAsia="Arial" w:hAnsi="Arial" w:cs="Arial"/>
                <w:sz w:val="24"/>
                <w:szCs w:val="24"/>
              </w:rPr>
            </w:pPr>
          </w:p>
          <w:p w14:paraId="1718C7FE" w14:textId="77777777" w:rsidR="009D01A8" w:rsidRPr="00661D44" w:rsidRDefault="009D01A8" w:rsidP="00F17916">
            <w:pPr>
              <w:spacing w:line="259" w:lineRule="auto"/>
              <w:ind w:left="0"/>
              <w:jc w:val="center"/>
              <w:rPr>
                <w:rFonts w:ascii="Arial" w:eastAsia="Arial" w:hAnsi="Arial" w:cs="Arial"/>
                <w:sz w:val="24"/>
                <w:szCs w:val="24"/>
              </w:rPr>
            </w:pPr>
            <w:r w:rsidRPr="00661D44">
              <w:rPr>
                <w:rFonts w:ascii="Arial" w:eastAsia="Arial" w:hAnsi="Arial" w:cs="Arial"/>
                <w:sz w:val="24"/>
                <w:szCs w:val="24"/>
              </w:rPr>
              <w:t>2020</w:t>
            </w:r>
          </w:p>
        </w:tc>
        <w:tc>
          <w:tcPr>
            <w:tcW w:w="3145" w:type="dxa"/>
          </w:tcPr>
          <w:p w14:paraId="2CBD1678" w14:textId="77777777" w:rsidR="009D01A8" w:rsidRPr="00661D44" w:rsidRDefault="009D01A8" w:rsidP="00F17916">
            <w:pPr>
              <w:spacing w:before="120" w:after="120" w:line="259" w:lineRule="auto"/>
              <w:ind w:left="0"/>
              <w:jc w:val="center"/>
              <w:rPr>
                <w:rFonts w:ascii="Arial" w:eastAsia="Arial" w:hAnsi="Arial" w:cs="Arial"/>
                <w:sz w:val="24"/>
                <w:szCs w:val="24"/>
              </w:rPr>
            </w:pPr>
            <w:r w:rsidRPr="00661D44">
              <w:rPr>
                <w:rFonts w:ascii="Arial" w:eastAsia="Arial" w:hAnsi="Arial" w:cs="Arial"/>
                <w:sz w:val="24"/>
                <w:szCs w:val="24"/>
              </w:rPr>
              <w:t>Component Cities/Municipalities</w:t>
            </w:r>
          </w:p>
          <w:p w14:paraId="6D13C019" w14:textId="77777777" w:rsidR="009D01A8" w:rsidRPr="00661D44" w:rsidRDefault="009D01A8" w:rsidP="00F17916">
            <w:pPr>
              <w:spacing w:before="120" w:after="120" w:line="259" w:lineRule="auto"/>
              <w:ind w:left="0"/>
              <w:jc w:val="center"/>
              <w:rPr>
                <w:rFonts w:ascii="Arial" w:eastAsia="Arial" w:hAnsi="Arial" w:cs="Arial"/>
                <w:sz w:val="24"/>
                <w:szCs w:val="24"/>
              </w:rPr>
            </w:pPr>
            <w:r w:rsidRPr="00661D44">
              <w:rPr>
                <w:rFonts w:ascii="Arial" w:eastAsia="Arial" w:hAnsi="Arial" w:cs="Arial"/>
                <w:b/>
                <w:sz w:val="24"/>
                <w:szCs w:val="24"/>
              </w:rPr>
              <w:t xml:space="preserve">July 12 – 23 </w:t>
            </w:r>
          </w:p>
        </w:tc>
      </w:tr>
      <w:tr w:rsidR="009D01A8" w14:paraId="304E363D" w14:textId="77777777" w:rsidTr="00F17916">
        <w:tc>
          <w:tcPr>
            <w:tcW w:w="4315" w:type="dxa"/>
            <w:vMerge/>
          </w:tcPr>
          <w:p w14:paraId="6558CA3C" w14:textId="77777777" w:rsidR="009D01A8" w:rsidRPr="00661D44" w:rsidRDefault="009D01A8" w:rsidP="00F17916">
            <w:pPr>
              <w:tabs>
                <w:tab w:val="center" w:pos="937"/>
                <w:tab w:val="center" w:pos="3225"/>
              </w:tabs>
              <w:ind w:left="0"/>
              <w:jc w:val="left"/>
              <w:rPr>
                <w:rFonts w:ascii="Arial" w:eastAsia="Arial" w:hAnsi="Arial" w:cs="Arial"/>
                <w:sz w:val="24"/>
                <w:szCs w:val="24"/>
              </w:rPr>
            </w:pPr>
          </w:p>
        </w:tc>
        <w:tc>
          <w:tcPr>
            <w:tcW w:w="1890" w:type="dxa"/>
            <w:vMerge/>
          </w:tcPr>
          <w:p w14:paraId="1A534075" w14:textId="77777777" w:rsidR="009D01A8" w:rsidRPr="00661D44" w:rsidRDefault="009D01A8" w:rsidP="00F17916">
            <w:pPr>
              <w:spacing w:line="259" w:lineRule="auto"/>
              <w:ind w:left="0"/>
              <w:jc w:val="center"/>
              <w:rPr>
                <w:rFonts w:ascii="Arial" w:eastAsia="Arial" w:hAnsi="Arial" w:cs="Arial"/>
                <w:sz w:val="24"/>
                <w:szCs w:val="24"/>
              </w:rPr>
            </w:pPr>
          </w:p>
        </w:tc>
        <w:tc>
          <w:tcPr>
            <w:tcW w:w="3145" w:type="dxa"/>
          </w:tcPr>
          <w:p w14:paraId="06DC881F" w14:textId="77777777" w:rsidR="009D01A8" w:rsidRPr="00661D44" w:rsidRDefault="009D01A8" w:rsidP="00F17916">
            <w:pPr>
              <w:spacing w:before="120" w:after="120" w:line="259" w:lineRule="auto"/>
              <w:ind w:left="0"/>
              <w:jc w:val="center"/>
              <w:rPr>
                <w:rFonts w:ascii="Arial" w:eastAsia="Arial" w:hAnsi="Arial" w:cs="Arial"/>
                <w:sz w:val="24"/>
                <w:szCs w:val="24"/>
              </w:rPr>
            </w:pPr>
            <w:r w:rsidRPr="00661D44">
              <w:rPr>
                <w:rFonts w:ascii="Arial" w:eastAsia="Arial" w:hAnsi="Arial" w:cs="Arial"/>
                <w:sz w:val="24"/>
                <w:szCs w:val="24"/>
              </w:rPr>
              <w:t>Provinces/HUCs/ICCs</w:t>
            </w:r>
          </w:p>
          <w:p w14:paraId="555EC8E7" w14:textId="77777777" w:rsidR="009D01A8" w:rsidRPr="00661D44" w:rsidRDefault="009D01A8" w:rsidP="00F17916">
            <w:pPr>
              <w:spacing w:before="120" w:after="120" w:line="259" w:lineRule="auto"/>
              <w:ind w:left="0"/>
              <w:jc w:val="center"/>
              <w:rPr>
                <w:rFonts w:ascii="Arial" w:eastAsia="Arial" w:hAnsi="Arial" w:cs="Arial"/>
                <w:sz w:val="24"/>
                <w:szCs w:val="24"/>
              </w:rPr>
            </w:pPr>
            <w:r w:rsidRPr="00661D44">
              <w:rPr>
                <w:rFonts w:ascii="Arial" w:eastAsia="Arial" w:hAnsi="Arial" w:cs="Arial"/>
                <w:b/>
                <w:sz w:val="24"/>
                <w:szCs w:val="24"/>
              </w:rPr>
              <w:t xml:space="preserve">August 9 – 20 </w:t>
            </w:r>
          </w:p>
        </w:tc>
      </w:tr>
      <w:tr w:rsidR="009D01A8" w14:paraId="4C9FACC7" w14:textId="77777777" w:rsidTr="00F17916">
        <w:tc>
          <w:tcPr>
            <w:tcW w:w="4315" w:type="dxa"/>
            <w:vMerge w:val="restart"/>
          </w:tcPr>
          <w:p w14:paraId="4383805A" w14:textId="77777777" w:rsidR="009D01A8" w:rsidRPr="00661D44" w:rsidRDefault="009D01A8" w:rsidP="00F17916">
            <w:pPr>
              <w:spacing w:before="120" w:line="259" w:lineRule="auto"/>
              <w:ind w:left="0"/>
              <w:jc w:val="left"/>
              <w:rPr>
                <w:rFonts w:ascii="Arial" w:eastAsia="Arial" w:hAnsi="Arial" w:cs="Arial"/>
                <w:sz w:val="24"/>
                <w:szCs w:val="24"/>
              </w:rPr>
            </w:pPr>
            <w:r w:rsidRPr="00661D44">
              <w:rPr>
                <w:rFonts w:ascii="Arial" w:eastAsia="Arial" w:hAnsi="Arial" w:cs="Arial"/>
                <w:sz w:val="24"/>
                <w:szCs w:val="24"/>
              </w:rPr>
              <w:t>Phase 3: Audit Results Calibration and Finalization</w:t>
            </w:r>
          </w:p>
        </w:tc>
        <w:tc>
          <w:tcPr>
            <w:tcW w:w="1890" w:type="dxa"/>
          </w:tcPr>
          <w:p w14:paraId="26DFCD65" w14:textId="77777777" w:rsidR="009D01A8" w:rsidRPr="00661D44" w:rsidRDefault="009D01A8" w:rsidP="00F17916">
            <w:pPr>
              <w:spacing w:before="120" w:after="120" w:line="259" w:lineRule="auto"/>
              <w:ind w:left="9"/>
              <w:jc w:val="center"/>
              <w:rPr>
                <w:rFonts w:ascii="Arial" w:eastAsia="Arial" w:hAnsi="Arial" w:cs="Arial"/>
                <w:bCs/>
                <w:sz w:val="24"/>
                <w:szCs w:val="24"/>
              </w:rPr>
            </w:pPr>
            <w:r w:rsidRPr="00661D44">
              <w:rPr>
                <w:rFonts w:ascii="Arial" w:eastAsia="Arial" w:hAnsi="Arial" w:cs="Arial"/>
                <w:bCs/>
                <w:sz w:val="24"/>
                <w:szCs w:val="24"/>
              </w:rPr>
              <w:t>2019</w:t>
            </w:r>
          </w:p>
        </w:tc>
        <w:tc>
          <w:tcPr>
            <w:tcW w:w="3145" w:type="dxa"/>
          </w:tcPr>
          <w:p w14:paraId="72D76737" w14:textId="77777777" w:rsidR="009D01A8" w:rsidRPr="00661D44" w:rsidRDefault="009D01A8" w:rsidP="00F17916">
            <w:pPr>
              <w:spacing w:before="120" w:after="120" w:line="259" w:lineRule="auto"/>
              <w:ind w:left="9"/>
              <w:jc w:val="center"/>
              <w:rPr>
                <w:rFonts w:ascii="Arial" w:eastAsia="Arial" w:hAnsi="Arial" w:cs="Arial"/>
                <w:b/>
                <w:bCs/>
                <w:sz w:val="24"/>
                <w:szCs w:val="24"/>
              </w:rPr>
            </w:pPr>
            <w:r w:rsidRPr="00661D44">
              <w:rPr>
                <w:rFonts w:ascii="Arial" w:eastAsia="Arial" w:hAnsi="Arial" w:cs="Arial"/>
                <w:b/>
                <w:bCs/>
                <w:sz w:val="24"/>
                <w:szCs w:val="24"/>
              </w:rPr>
              <w:t>June 28 – July 9</w:t>
            </w:r>
          </w:p>
        </w:tc>
      </w:tr>
      <w:tr w:rsidR="009D01A8" w14:paraId="529408FC" w14:textId="77777777" w:rsidTr="00F17916">
        <w:tc>
          <w:tcPr>
            <w:tcW w:w="4315" w:type="dxa"/>
            <w:vMerge/>
          </w:tcPr>
          <w:p w14:paraId="24B43B9E" w14:textId="77777777" w:rsidR="009D01A8" w:rsidRPr="00661D44" w:rsidRDefault="009D01A8" w:rsidP="00F17916">
            <w:pPr>
              <w:spacing w:line="259" w:lineRule="auto"/>
              <w:ind w:left="0"/>
              <w:jc w:val="left"/>
              <w:rPr>
                <w:rFonts w:ascii="Arial" w:eastAsia="Arial" w:hAnsi="Arial" w:cs="Arial"/>
                <w:sz w:val="24"/>
                <w:szCs w:val="24"/>
              </w:rPr>
            </w:pPr>
          </w:p>
        </w:tc>
        <w:tc>
          <w:tcPr>
            <w:tcW w:w="1890" w:type="dxa"/>
          </w:tcPr>
          <w:p w14:paraId="315FD066" w14:textId="77777777" w:rsidR="009D01A8" w:rsidRPr="00661D44" w:rsidRDefault="009D01A8" w:rsidP="00F17916">
            <w:pPr>
              <w:spacing w:before="120" w:after="120" w:line="259" w:lineRule="auto"/>
              <w:ind w:left="9"/>
              <w:jc w:val="center"/>
              <w:rPr>
                <w:rFonts w:ascii="Arial" w:eastAsia="Arial" w:hAnsi="Arial" w:cs="Arial"/>
                <w:bCs/>
                <w:sz w:val="24"/>
                <w:szCs w:val="24"/>
              </w:rPr>
            </w:pPr>
            <w:r w:rsidRPr="00661D44">
              <w:rPr>
                <w:rFonts w:ascii="Arial" w:eastAsia="Arial" w:hAnsi="Arial" w:cs="Arial"/>
                <w:bCs/>
                <w:sz w:val="24"/>
                <w:szCs w:val="24"/>
              </w:rPr>
              <w:t>2020</w:t>
            </w:r>
          </w:p>
        </w:tc>
        <w:tc>
          <w:tcPr>
            <w:tcW w:w="3145" w:type="dxa"/>
          </w:tcPr>
          <w:p w14:paraId="43CAB524" w14:textId="77777777" w:rsidR="009D01A8" w:rsidRPr="00661D44" w:rsidRDefault="009D01A8" w:rsidP="00F17916">
            <w:pPr>
              <w:spacing w:before="120" w:after="120" w:line="259" w:lineRule="auto"/>
              <w:ind w:left="9"/>
              <w:jc w:val="center"/>
              <w:rPr>
                <w:rFonts w:ascii="Arial" w:eastAsia="Arial" w:hAnsi="Arial" w:cs="Arial"/>
                <w:b/>
                <w:sz w:val="24"/>
                <w:szCs w:val="24"/>
              </w:rPr>
            </w:pPr>
            <w:r w:rsidRPr="00661D44">
              <w:rPr>
                <w:rFonts w:ascii="Arial" w:eastAsia="Arial" w:hAnsi="Arial" w:cs="Arial"/>
                <w:b/>
                <w:sz w:val="24"/>
                <w:szCs w:val="24"/>
              </w:rPr>
              <w:t>August 23 – September 3</w:t>
            </w:r>
          </w:p>
        </w:tc>
      </w:tr>
      <w:tr w:rsidR="009D01A8" w14:paraId="34059634" w14:textId="77777777" w:rsidTr="00F17916">
        <w:tc>
          <w:tcPr>
            <w:tcW w:w="4315" w:type="dxa"/>
          </w:tcPr>
          <w:p w14:paraId="14297C66" w14:textId="77777777" w:rsidR="009D01A8" w:rsidRPr="00661D44" w:rsidRDefault="009D01A8" w:rsidP="00F17916">
            <w:pPr>
              <w:spacing w:before="120" w:after="120" w:line="259" w:lineRule="auto"/>
              <w:ind w:left="0"/>
              <w:jc w:val="left"/>
              <w:rPr>
                <w:rFonts w:ascii="Arial" w:eastAsia="Arial" w:hAnsi="Arial" w:cs="Arial"/>
                <w:sz w:val="24"/>
                <w:szCs w:val="24"/>
              </w:rPr>
            </w:pPr>
            <w:r w:rsidRPr="00661D44">
              <w:rPr>
                <w:rFonts w:ascii="Arial" w:eastAsia="Arial" w:hAnsi="Arial" w:cs="Arial"/>
                <w:sz w:val="24"/>
                <w:szCs w:val="24"/>
              </w:rPr>
              <w:t>Phase 4: Presentation of Audit Results to SILG</w:t>
            </w:r>
          </w:p>
        </w:tc>
        <w:tc>
          <w:tcPr>
            <w:tcW w:w="1890" w:type="dxa"/>
          </w:tcPr>
          <w:p w14:paraId="16960829" w14:textId="77777777" w:rsidR="009D01A8" w:rsidRPr="00661D44" w:rsidRDefault="009D01A8" w:rsidP="00F17916">
            <w:pPr>
              <w:spacing w:before="120" w:line="259" w:lineRule="auto"/>
              <w:ind w:left="9"/>
              <w:jc w:val="center"/>
              <w:rPr>
                <w:rFonts w:ascii="Arial" w:eastAsia="Arial" w:hAnsi="Arial" w:cs="Arial"/>
                <w:bCs/>
                <w:sz w:val="24"/>
                <w:szCs w:val="24"/>
              </w:rPr>
            </w:pPr>
            <w:r w:rsidRPr="00661D44">
              <w:rPr>
                <w:rFonts w:ascii="Arial" w:eastAsia="Arial" w:hAnsi="Arial" w:cs="Arial"/>
                <w:bCs/>
                <w:sz w:val="24"/>
                <w:szCs w:val="24"/>
              </w:rPr>
              <w:t>2019 &amp; 2020</w:t>
            </w:r>
          </w:p>
        </w:tc>
        <w:tc>
          <w:tcPr>
            <w:tcW w:w="3145" w:type="dxa"/>
          </w:tcPr>
          <w:p w14:paraId="14C3BBBA" w14:textId="77777777" w:rsidR="009D01A8" w:rsidRPr="00661D44" w:rsidRDefault="009D01A8" w:rsidP="00F17916">
            <w:pPr>
              <w:spacing w:before="120" w:after="120" w:line="259" w:lineRule="auto"/>
              <w:ind w:left="9"/>
              <w:jc w:val="center"/>
              <w:rPr>
                <w:rFonts w:ascii="Arial" w:eastAsia="Arial" w:hAnsi="Arial" w:cs="Arial"/>
                <w:b/>
                <w:sz w:val="24"/>
                <w:szCs w:val="24"/>
              </w:rPr>
            </w:pPr>
            <w:r w:rsidRPr="00661D44">
              <w:rPr>
                <w:rFonts w:ascii="Arial" w:eastAsia="Arial" w:hAnsi="Arial" w:cs="Arial"/>
                <w:b/>
                <w:sz w:val="24"/>
                <w:szCs w:val="24"/>
              </w:rPr>
              <w:t>September</w:t>
            </w:r>
          </w:p>
        </w:tc>
      </w:tr>
    </w:tbl>
    <w:p w14:paraId="5560153E" w14:textId="77777777" w:rsidR="009D01A8" w:rsidRPr="008A468E" w:rsidRDefault="009D01A8" w:rsidP="009D01A8">
      <w:pPr>
        <w:pBdr>
          <w:top w:val="nil"/>
          <w:left w:val="nil"/>
          <w:bottom w:val="nil"/>
          <w:right w:val="nil"/>
          <w:between w:val="nil"/>
        </w:pBdr>
        <w:spacing w:after="0" w:line="276" w:lineRule="auto"/>
        <w:jc w:val="left"/>
        <w:rPr>
          <w:rFonts w:ascii="Arial" w:eastAsia="Arial" w:hAnsi="Arial" w:cs="Arial"/>
          <w:b/>
          <w:color w:val="000000"/>
        </w:rPr>
      </w:pPr>
    </w:p>
    <w:p w14:paraId="621BC8E2" w14:textId="77777777" w:rsidR="009D01A8" w:rsidRDefault="009D01A8" w:rsidP="009D01A8">
      <w:pPr>
        <w:pBdr>
          <w:top w:val="nil"/>
          <w:left w:val="nil"/>
          <w:bottom w:val="nil"/>
          <w:right w:val="nil"/>
          <w:between w:val="nil"/>
        </w:pBdr>
        <w:spacing w:after="0" w:line="276" w:lineRule="auto"/>
        <w:jc w:val="left"/>
        <w:rPr>
          <w:rFonts w:ascii="Arial" w:eastAsia="Arial" w:hAnsi="Arial" w:cs="Arial"/>
          <w:b/>
          <w:color w:val="000000"/>
          <w:sz w:val="24"/>
          <w:szCs w:val="24"/>
        </w:rPr>
      </w:pPr>
    </w:p>
    <w:p w14:paraId="73A47B38" w14:textId="77777777" w:rsidR="00E131FE" w:rsidRDefault="00E131FE" w:rsidP="009D01A8">
      <w:pPr>
        <w:ind w:left="0"/>
      </w:pPr>
    </w:p>
    <w:sectPr w:rsidR="00E131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C374B"/>
    <w:multiLevelType w:val="multilevel"/>
    <w:tmpl w:val="E4F63F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072307"/>
    <w:multiLevelType w:val="multilevel"/>
    <w:tmpl w:val="E2E4FE8C"/>
    <w:lvl w:ilvl="0">
      <w:start w:val="1"/>
      <w:numFmt w:val="upperRoman"/>
      <w:lvlText w:val="%1."/>
      <w:lvlJc w:val="left"/>
      <w:pPr>
        <w:ind w:left="5220" w:hanging="72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8F600F"/>
    <w:multiLevelType w:val="multilevel"/>
    <w:tmpl w:val="DA384FC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9EF0BA2"/>
    <w:multiLevelType w:val="multilevel"/>
    <w:tmpl w:val="EE9453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CFF0CA5"/>
    <w:multiLevelType w:val="multilevel"/>
    <w:tmpl w:val="72D24A1A"/>
    <w:lvl w:ilvl="0">
      <w:start w:val="1"/>
      <w:numFmt w:val="lowerLetter"/>
      <w:lvlText w:val="%1."/>
      <w:lvlJc w:val="left"/>
      <w:pPr>
        <w:ind w:left="1080" w:hanging="360"/>
      </w:pPr>
      <w:rPr>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8752A09"/>
    <w:multiLevelType w:val="multilevel"/>
    <w:tmpl w:val="96A22EB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3AD408FD"/>
    <w:multiLevelType w:val="multilevel"/>
    <w:tmpl w:val="0694D28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3BA57277"/>
    <w:multiLevelType w:val="multilevel"/>
    <w:tmpl w:val="FD4CF0D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456B6F54"/>
    <w:multiLevelType w:val="multilevel"/>
    <w:tmpl w:val="7D5255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70678C2"/>
    <w:multiLevelType w:val="multilevel"/>
    <w:tmpl w:val="F8207C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6E100BC"/>
    <w:multiLevelType w:val="multilevel"/>
    <w:tmpl w:val="D6DC6C80"/>
    <w:lvl w:ilvl="0">
      <w:start w:val="1"/>
      <w:numFmt w:val="lowerRoman"/>
      <w:lvlText w:val="%1."/>
      <w:lvlJc w:val="righ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1" w15:restartNumberingAfterBreak="0">
    <w:nsid w:val="6B4D2D43"/>
    <w:multiLevelType w:val="multilevel"/>
    <w:tmpl w:val="572452CE"/>
    <w:lvl w:ilvl="0">
      <w:start w:val="1"/>
      <w:numFmt w:val="lowerRoman"/>
      <w:lvlText w:val="%1."/>
      <w:lvlJc w:val="righ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2" w15:restartNumberingAfterBreak="0">
    <w:nsid w:val="6F6B362A"/>
    <w:multiLevelType w:val="multilevel"/>
    <w:tmpl w:val="4DA628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74F64EA2"/>
    <w:multiLevelType w:val="multilevel"/>
    <w:tmpl w:val="D60C182C"/>
    <w:lvl w:ilvl="0">
      <w:start w:val="1"/>
      <w:numFmt w:val="upperLetter"/>
      <w:lvlText w:val="%1."/>
      <w:lvlJc w:val="left"/>
      <w:pPr>
        <w:ind w:left="720"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8"/>
  </w:num>
  <w:num w:numId="3">
    <w:abstractNumId w:val="9"/>
  </w:num>
  <w:num w:numId="4">
    <w:abstractNumId w:val="12"/>
  </w:num>
  <w:num w:numId="5">
    <w:abstractNumId w:val="6"/>
  </w:num>
  <w:num w:numId="6">
    <w:abstractNumId w:val="1"/>
  </w:num>
  <w:num w:numId="7">
    <w:abstractNumId w:val="13"/>
  </w:num>
  <w:num w:numId="8">
    <w:abstractNumId w:val="10"/>
  </w:num>
  <w:num w:numId="9">
    <w:abstractNumId w:val="11"/>
  </w:num>
  <w:num w:numId="10">
    <w:abstractNumId w:val="3"/>
  </w:num>
  <w:num w:numId="11">
    <w:abstractNumId w:val="5"/>
  </w:num>
  <w:num w:numId="12">
    <w:abstractNumId w:val="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1A8"/>
    <w:rsid w:val="009D01A8"/>
    <w:rsid w:val="00E131F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BEDC"/>
  <w15:chartTrackingRefBased/>
  <w15:docId w15:val="{381EFCDC-3606-4E43-B8F5-48FB5BAA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1A8"/>
    <w:pPr>
      <w:spacing w:after="35" w:line="267" w:lineRule="auto"/>
      <w:ind w:left="10"/>
      <w:jc w:val="both"/>
    </w:pPr>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1A8"/>
    <w:pPr>
      <w:spacing w:after="0" w:line="240" w:lineRule="auto"/>
      <w:ind w:left="10"/>
      <w:jc w:val="both"/>
    </w:pPr>
    <w:rPr>
      <w:rFonts w:ascii="Cambria" w:eastAsia="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lg.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2284</Words>
  <Characters>13020</Characters>
  <Application>Microsoft Office Word</Application>
  <DocSecurity>0</DocSecurity>
  <Lines>108</Lines>
  <Paragraphs>30</Paragraphs>
  <ScaleCrop>false</ScaleCrop>
  <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joy Ibañez</dc:creator>
  <cp:keywords/>
  <dc:description/>
  <cp:lastModifiedBy>Justine joy Ibañez</cp:lastModifiedBy>
  <cp:revision>1</cp:revision>
  <dcterms:created xsi:type="dcterms:W3CDTF">2021-03-12T18:45:00Z</dcterms:created>
  <dcterms:modified xsi:type="dcterms:W3CDTF">2021-03-12T18:46:00Z</dcterms:modified>
</cp:coreProperties>
</file>